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BD94" w14:textId="746AEFE0" w:rsidR="000F3B7C" w:rsidRPr="00020BC1" w:rsidRDefault="000F3B7C" w:rsidP="00E84957">
      <w:pPr>
        <w:rPr>
          <w:rFonts w:ascii="Montserrat" w:hAnsi="Montserrat"/>
          <w:b/>
          <w:sz w:val="40"/>
          <w:szCs w:val="40"/>
        </w:rPr>
      </w:pPr>
      <w:r w:rsidRPr="00020BC1">
        <w:rPr>
          <w:rFonts w:ascii="Montserrat" w:hAnsi="Montserrat"/>
          <w:b/>
          <w:sz w:val="40"/>
          <w:szCs w:val="40"/>
        </w:rPr>
        <w:t>Medication Abortion Protocol</w:t>
      </w:r>
    </w:p>
    <w:p w14:paraId="422E2EE1" w14:textId="07B48DBB" w:rsidR="00B90BED" w:rsidRPr="00020BC1" w:rsidRDefault="00B90BED" w:rsidP="000F3B7C">
      <w:pPr>
        <w:spacing w:after="0" w:line="240" w:lineRule="auto"/>
        <w:rPr>
          <w:rFonts w:cstheme="minorHAnsi"/>
        </w:rPr>
      </w:pPr>
      <w:r w:rsidRPr="00020BC1">
        <w:rPr>
          <w:rFonts w:cstheme="minorHAnsi"/>
        </w:rPr>
        <w:t xml:space="preserve">This protocol provides basic requirements for implementing medication abortion services at a family medicine teaching site. </w:t>
      </w:r>
      <w:r w:rsidR="00D82CAC" w:rsidRPr="00020BC1">
        <w:rPr>
          <w:rFonts w:cstheme="minorHAnsi"/>
        </w:rPr>
        <w:t>An</w:t>
      </w:r>
      <w:r w:rsidR="00D82CAC" w:rsidRPr="00020BC1">
        <w:rPr>
          <w:rFonts w:cstheme="minorHAnsi"/>
        </w:rPr>
        <w:t xml:space="preserve"> </w:t>
      </w:r>
      <w:r w:rsidR="001D1748" w:rsidRPr="00020BC1">
        <w:rPr>
          <w:rFonts w:cstheme="minorHAnsi"/>
        </w:rPr>
        <w:t xml:space="preserve">interactive version </w:t>
      </w:r>
      <w:r w:rsidR="00D82CAC" w:rsidRPr="00020BC1">
        <w:rPr>
          <w:rFonts w:cstheme="minorHAnsi"/>
        </w:rPr>
        <w:t>with</w:t>
      </w:r>
      <w:r w:rsidR="001D1748" w:rsidRPr="00020BC1">
        <w:rPr>
          <w:rFonts w:cstheme="minorHAnsi"/>
        </w:rPr>
        <w:t xml:space="preserve"> citations and practice </w:t>
      </w:r>
      <w:r w:rsidR="00D82CAC" w:rsidRPr="00020BC1">
        <w:rPr>
          <w:rFonts w:cstheme="minorHAnsi"/>
        </w:rPr>
        <w:t xml:space="preserve">tips is also available on </w:t>
      </w:r>
      <w:hyperlink r:id="rId8" w:history="1">
        <w:r w:rsidR="00D82CAC" w:rsidRPr="00020BC1">
          <w:rPr>
            <w:rStyle w:val="Hyperlink"/>
            <w:rFonts w:cstheme="minorHAnsi"/>
          </w:rPr>
          <w:t>rhedi.org</w:t>
        </w:r>
      </w:hyperlink>
      <w:r w:rsidR="00D82CAC" w:rsidRPr="00020BC1">
        <w:rPr>
          <w:rFonts w:cstheme="minorHAnsi"/>
        </w:rPr>
        <w:t>.</w:t>
      </w:r>
    </w:p>
    <w:p w14:paraId="41EECB6A" w14:textId="56C9B782" w:rsidR="00B90BED" w:rsidRDefault="00B90BED" w:rsidP="000F3B7C">
      <w:pPr>
        <w:spacing w:after="0" w:line="240" w:lineRule="auto"/>
        <w:rPr>
          <w:b/>
          <w:sz w:val="24"/>
          <w:szCs w:val="24"/>
        </w:rPr>
      </w:pPr>
    </w:p>
    <w:p w14:paraId="1391EC18" w14:textId="64F3620C" w:rsidR="00B90BED" w:rsidRPr="00020BC1" w:rsidRDefault="00B90BED" w:rsidP="00B90BED">
      <w:pPr>
        <w:pStyle w:val="Heading2"/>
        <w:shd w:val="clear" w:color="auto" w:fill="FFFFFF"/>
        <w:spacing w:before="0"/>
        <w:rPr>
          <w:rFonts w:ascii="Montserrat" w:hAnsi="Montserrat" w:cs="Helvetica"/>
          <w:color w:val="004F6F"/>
        </w:rPr>
      </w:pPr>
      <w:r w:rsidRPr="00020BC1">
        <w:rPr>
          <w:rStyle w:val="tooltipck"/>
          <w:rFonts w:ascii="Montserrat" w:hAnsi="Montserrat" w:cs="Helvetica"/>
          <w:color w:val="004F6F"/>
          <w:bdr w:val="none" w:sz="0" w:space="0" w:color="auto" w:frame="1"/>
        </w:rPr>
        <w:t>Medication Abortion Protocol</w:t>
      </w:r>
    </w:p>
    <w:p w14:paraId="067B2A55" w14:textId="77777777" w:rsidR="00B90BED" w:rsidRDefault="00B90BED" w:rsidP="000F3B7C">
      <w:pPr>
        <w:spacing w:after="0" w:line="240" w:lineRule="auto"/>
        <w:rPr>
          <w:b/>
          <w:sz w:val="24"/>
          <w:szCs w:val="24"/>
        </w:rPr>
      </w:pPr>
    </w:p>
    <w:p w14:paraId="5CB48D48" w14:textId="00C9347A" w:rsidR="003B7832" w:rsidRPr="00020BC1" w:rsidRDefault="003B7832" w:rsidP="000F3B7C">
      <w:pPr>
        <w:spacing w:after="0" w:line="240" w:lineRule="auto"/>
        <w:rPr>
          <w:rFonts w:ascii="Montserrat" w:hAnsi="Montserrat"/>
          <w:b/>
          <w:sz w:val="24"/>
          <w:szCs w:val="24"/>
        </w:rPr>
      </w:pPr>
      <w:r w:rsidRPr="00020BC1">
        <w:rPr>
          <w:rFonts w:ascii="Montserrat" w:hAnsi="Montserrat"/>
          <w:b/>
          <w:sz w:val="24"/>
          <w:szCs w:val="24"/>
        </w:rPr>
        <w:t>Scheduling:</w:t>
      </w:r>
    </w:p>
    <w:p w14:paraId="3D279C33" w14:textId="455D33D2" w:rsidR="003B7832" w:rsidRPr="003B7832" w:rsidRDefault="003B7832" w:rsidP="000F3B7C">
      <w:pPr>
        <w:spacing w:after="0" w:line="240" w:lineRule="auto"/>
      </w:pPr>
      <w:r w:rsidRPr="003B7832">
        <w:t>Patients requesting</w:t>
      </w:r>
      <w:r>
        <w:t xml:space="preserve"> </w:t>
      </w:r>
      <w:r w:rsidR="00951ECA">
        <w:t>a medication</w:t>
      </w:r>
      <w:r>
        <w:t xml:space="preserve"> abortion </w:t>
      </w:r>
      <w:r w:rsidR="00F87D27">
        <w:t xml:space="preserve">ideally </w:t>
      </w:r>
      <w:r w:rsidR="00951ECA">
        <w:t xml:space="preserve">should </w:t>
      </w:r>
      <w:r>
        <w:t xml:space="preserve">be scheduled within 7 days of </w:t>
      </w:r>
      <w:r w:rsidR="00951ECA">
        <w:t>contacting your office; c</w:t>
      </w:r>
      <w:r w:rsidR="00F04687" w:rsidRPr="00F04687">
        <w:t>onsider the feasibility of telemedicine/minimal contact care</w:t>
      </w:r>
      <w:r w:rsidR="00951ECA">
        <w:t xml:space="preserve"> to provide care sooner</w:t>
      </w:r>
      <w:r w:rsidR="00F04687" w:rsidRPr="00F04687">
        <w:t>.</w:t>
      </w:r>
      <w:r w:rsidR="0016113B">
        <w:t xml:space="preserve">  </w:t>
      </w:r>
    </w:p>
    <w:p w14:paraId="159CD86D" w14:textId="77777777" w:rsidR="003B7832" w:rsidRDefault="003B7832" w:rsidP="000F3B7C">
      <w:pPr>
        <w:spacing w:after="0" w:line="240" w:lineRule="auto"/>
        <w:rPr>
          <w:b/>
          <w:sz w:val="24"/>
          <w:szCs w:val="24"/>
        </w:rPr>
      </w:pPr>
    </w:p>
    <w:p w14:paraId="4F2BB473" w14:textId="6FB373C9" w:rsidR="00C92CDB" w:rsidRPr="00020BC1" w:rsidRDefault="00C92CDB" w:rsidP="00C92CDB">
      <w:pPr>
        <w:spacing w:after="0"/>
        <w:rPr>
          <w:rFonts w:ascii="Montserrat" w:hAnsi="Montserrat"/>
          <w:b/>
          <w:sz w:val="24"/>
          <w:szCs w:val="24"/>
        </w:rPr>
      </w:pPr>
      <w:r w:rsidRPr="00020BC1">
        <w:rPr>
          <w:rFonts w:ascii="Montserrat" w:hAnsi="Montserrat"/>
          <w:b/>
          <w:sz w:val="24"/>
          <w:szCs w:val="24"/>
        </w:rPr>
        <w:t xml:space="preserve">Patient </w:t>
      </w:r>
      <w:r w:rsidR="00137BCB" w:rsidRPr="00020BC1">
        <w:rPr>
          <w:rFonts w:ascii="Montserrat" w:hAnsi="Montserrat"/>
          <w:b/>
          <w:sz w:val="24"/>
          <w:szCs w:val="24"/>
        </w:rPr>
        <w:t>Eligibility</w:t>
      </w:r>
      <w:r w:rsidR="00E337BF" w:rsidRPr="00020BC1">
        <w:rPr>
          <w:rFonts w:ascii="Montserrat" w:hAnsi="Montserrat"/>
          <w:b/>
          <w:sz w:val="24"/>
          <w:szCs w:val="24"/>
        </w:rPr>
        <w:t>:</w:t>
      </w:r>
      <w:r w:rsidR="00A805D7" w:rsidRPr="00020BC1">
        <w:rPr>
          <w:rFonts w:ascii="Montserrat" w:hAnsi="Montserrat"/>
          <w:b/>
          <w:sz w:val="24"/>
          <w:szCs w:val="24"/>
        </w:rPr>
        <w:t xml:space="preserve"> </w:t>
      </w:r>
    </w:p>
    <w:p w14:paraId="5AB67C50" w14:textId="098CB222" w:rsidR="00C92CDB" w:rsidRPr="0095645D" w:rsidRDefault="00A805D7" w:rsidP="00C92CDB">
      <w:pPr>
        <w:numPr>
          <w:ilvl w:val="0"/>
          <w:numId w:val="4"/>
        </w:numPr>
        <w:tabs>
          <w:tab w:val="clear" w:pos="720"/>
          <w:tab w:val="num" w:pos="630"/>
        </w:tabs>
        <w:spacing w:after="0" w:line="240" w:lineRule="auto"/>
        <w:ind w:left="630"/>
      </w:pPr>
      <w:r>
        <w:t>U</w:t>
      </w:r>
      <w:r w:rsidR="00C92CDB">
        <w:t>p to 1</w:t>
      </w:r>
      <w:r w:rsidR="00951ECA">
        <w:t>2</w:t>
      </w:r>
      <w:r w:rsidR="00C92CDB">
        <w:t xml:space="preserve"> weeks (</w:t>
      </w:r>
      <w:r w:rsidR="00951ECA">
        <w:t>84</w:t>
      </w:r>
      <w:r w:rsidR="00C92CDB">
        <w:t xml:space="preserve"> days) from </w:t>
      </w:r>
      <w:r>
        <w:t xml:space="preserve">first day of </w:t>
      </w:r>
      <w:r w:rsidR="00C92CDB">
        <w:t>last menstrual period (LMP)</w:t>
      </w:r>
      <w:r w:rsidR="005369AF">
        <w:rPr>
          <w:vertAlign w:val="superscript"/>
        </w:rPr>
        <w:t>1</w:t>
      </w:r>
    </w:p>
    <w:p w14:paraId="02B59D98" w14:textId="285AC8E7" w:rsidR="00F700CC" w:rsidRDefault="0A55F0DA" w:rsidP="00C92CDB">
      <w:pPr>
        <w:numPr>
          <w:ilvl w:val="0"/>
          <w:numId w:val="4"/>
        </w:numPr>
        <w:tabs>
          <w:tab w:val="clear" w:pos="720"/>
          <w:tab w:val="num" w:pos="630"/>
        </w:tabs>
        <w:spacing w:after="0" w:line="240" w:lineRule="auto"/>
        <w:ind w:left="630"/>
      </w:pPr>
      <w:r>
        <w:t>Positive pregnancy test</w:t>
      </w:r>
    </w:p>
    <w:p w14:paraId="261D5AA8" w14:textId="77777777" w:rsidR="00C92CDB" w:rsidRDefault="00C92CDB" w:rsidP="000F3B7C">
      <w:pPr>
        <w:spacing w:after="0" w:line="240" w:lineRule="auto"/>
        <w:rPr>
          <w:b/>
          <w:sz w:val="24"/>
          <w:szCs w:val="24"/>
        </w:rPr>
      </w:pPr>
    </w:p>
    <w:p w14:paraId="03F28E37" w14:textId="77777777" w:rsidR="000F3B7C" w:rsidRPr="00020BC1" w:rsidRDefault="000F3B7C" w:rsidP="0047249F">
      <w:pPr>
        <w:spacing w:after="80" w:line="240" w:lineRule="auto"/>
        <w:rPr>
          <w:rFonts w:ascii="Montserrat" w:hAnsi="Montserrat"/>
          <w:b/>
          <w:sz w:val="24"/>
          <w:szCs w:val="24"/>
        </w:rPr>
      </w:pPr>
      <w:r w:rsidRPr="00020BC1">
        <w:rPr>
          <w:rFonts w:ascii="Montserrat" w:hAnsi="Montserrat"/>
          <w:b/>
          <w:sz w:val="24"/>
          <w:szCs w:val="24"/>
        </w:rPr>
        <w:t>Contraindications:</w:t>
      </w:r>
    </w:p>
    <w:p w14:paraId="0B469758" w14:textId="77777777" w:rsidR="00931304" w:rsidRPr="000F3B7C" w:rsidRDefault="00545821" w:rsidP="000F3B7C">
      <w:pPr>
        <w:numPr>
          <w:ilvl w:val="0"/>
          <w:numId w:val="4"/>
        </w:numPr>
        <w:spacing w:after="0" w:line="240" w:lineRule="auto"/>
      </w:pPr>
      <w:r w:rsidRPr="000F3B7C">
        <w:t>Allergy to mifepristone or misoprostol or other prostaglandins</w:t>
      </w:r>
    </w:p>
    <w:p w14:paraId="2E28C9C3" w14:textId="77777777" w:rsidR="00931304" w:rsidRPr="000F3B7C" w:rsidRDefault="00545821" w:rsidP="000F3B7C">
      <w:pPr>
        <w:numPr>
          <w:ilvl w:val="0"/>
          <w:numId w:val="4"/>
        </w:numPr>
        <w:spacing w:after="0" w:line="240" w:lineRule="auto"/>
      </w:pPr>
      <w:r w:rsidRPr="000F3B7C">
        <w:t xml:space="preserve">Concurrent long term </w:t>
      </w:r>
      <w:r w:rsidR="005E6062">
        <w:t xml:space="preserve">systemic </w:t>
      </w:r>
      <w:r w:rsidRPr="000F3B7C">
        <w:t>steroid use</w:t>
      </w:r>
    </w:p>
    <w:p w14:paraId="6DD0F98E" w14:textId="77777777" w:rsidR="00931304" w:rsidRPr="000F3B7C" w:rsidRDefault="00545821" w:rsidP="000F3B7C">
      <w:pPr>
        <w:numPr>
          <w:ilvl w:val="0"/>
          <w:numId w:val="4"/>
        </w:numPr>
        <w:spacing w:after="0" w:line="240" w:lineRule="auto"/>
      </w:pPr>
      <w:r w:rsidRPr="000F3B7C">
        <w:t>Chronic adrenal failure</w:t>
      </w:r>
    </w:p>
    <w:p w14:paraId="0502B3E0" w14:textId="26FD2D5E" w:rsidR="00931304" w:rsidRDefault="00532528" w:rsidP="000F3B7C">
      <w:pPr>
        <w:numPr>
          <w:ilvl w:val="0"/>
          <w:numId w:val="4"/>
        </w:numPr>
        <w:spacing w:after="0" w:line="240" w:lineRule="auto"/>
      </w:pPr>
      <w:r>
        <w:t>C</w:t>
      </w:r>
      <w:r w:rsidR="00545821" w:rsidRPr="000F3B7C">
        <w:t>oagulopathy, hemorrhagic disorders</w:t>
      </w:r>
      <w:r w:rsidR="005940F1">
        <w:t xml:space="preserve">, or </w:t>
      </w:r>
      <w:r>
        <w:t>on</w:t>
      </w:r>
      <w:r w:rsidR="005940F1">
        <w:t xml:space="preserve"> an anticoagulant</w:t>
      </w:r>
    </w:p>
    <w:p w14:paraId="53BB5272" w14:textId="59C2416B" w:rsidR="005940F1" w:rsidRDefault="00532528" w:rsidP="000F3B7C">
      <w:pPr>
        <w:numPr>
          <w:ilvl w:val="0"/>
          <w:numId w:val="4"/>
        </w:numPr>
        <w:spacing w:after="0" w:line="240" w:lineRule="auto"/>
      </w:pPr>
      <w:r>
        <w:t>I</w:t>
      </w:r>
      <w:r w:rsidR="005940F1">
        <w:t>nherited porphyria</w:t>
      </w:r>
    </w:p>
    <w:p w14:paraId="5456B07C" w14:textId="233DDD90" w:rsidR="00E46B79" w:rsidRPr="000F3B7C" w:rsidRDefault="00E46B79" w:rsidP="00483255">
      <w:pPr>
        <w:numPr>
          <w:ilvl w:val="0"/>
          <w:numId w:val="4"/>
        </w:numPr>
        <w:spacing w:after="0" w:line="240" w:lineRule="auto"/>
      </w:pPr>
      <w:r>
        <w:t>IUD in place</w:t>
      </w:r>
      <w:r w:rsidR="00532528">
        <w:t xml:space="preserve"> (remove first)</w:t>
      </w:r>
    </w:p>
    <w:p w14:paraId="774BFA25" w14:textId="2592993A" w:rsidR="00BF745C" w:rsidRDefault="00FD3E0D" w:rsidP="00144D05">
      <w:pPr>
        <w:numPr>
          <w:ilvl w:val="0"/>
          <w:numId w:val="4"/>
        </w:numPr>
        <w:spacing w:after="0" w:line="240" w:lineRule="auto"/>
      </w:pPr>
      <w:r>
        <w:t>E</w:t>
      </w:r>
      <w:r w:rsidR="00545821" w:rsidRPr="000F3B7C">
        <w:t>ctopic pregnancy</w:t>
      </w:r>
      <w:r w:rsidR="00144D05">
        <w:rPr>
          <w:vertAlign w:val="superscript"/>
        </w:rPr>
        <w:t>2</w:t>
      </w:r>
    </w:p>
    <w:p w14:paraId="3A9FE474" w14:textId="77777777" w:rsidR="00E535BC" w:rsidRDefault="00E535BC" w:rsidP="009E40CC">
      <w:pPr>
        <w:spacing w:after="0" w:line="240" w:lineRule="auto"/>
      </w:pP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2239"/>
        <w:gridCol w:w="4042"/>
        <w:gridCol w:w="3789"/>
      </w:tblGrid>
      <w:tr w:rsidR="00FA6CE9" w14:paraId="0DAC3AC2" w14:textId="77777777" w:rsidTr="004E32FC">
        <w:tc>
          <w:tcPr>
            <w:tcW w:w="2239" w:type="dxa"/>
          </w:tcPr>
          <w:p w14:paraId="310B34BC" w14:textId="77777777" w:rsidR="00FA6CE9" w:rsidRDefault="00FA6CE9" w:rsidP="000F3B7C">
            <w:pPr>
              <w:rPr>
                <w:b/>
                <w:sz w:val="24"/>
                <w:szCs w:val="24"/>
              </w:rPr>
            </w:pPr>
          </w:p>
        </w:tc>
        <w:tc>
          <w:tcPr>
            <w:tcW w:w="4042" w:type="dxa"/>
          </w:tcPr>
          <w:p w14:paraId="15F2CCE0" w14:textId="45F694DD" w:rsidR="00FA6CE9" w:rsidRPr="00020BC1" w:rsidRDefault="008D5D33" w:rsidP="009C3281">
            <w:pPr>
              <w:rPr>
                <w:rFonts w:ascii="Montserrat" w:hAnsi="Montserrat"/>
                <w:b/>
              </w:rPr>
            </w:pPr>
            <w:r w:rsidRPr="00020BC1">
              <w:rPr>
                <w:rFonts w:ascii="Montserrat" w:hAnsi="Montserrat"/>
                <w:b/>
              </w:rPr>
              <w:t>Current e</w:t>
            </w:r>
            <w:r w:rsidR="00FA6CE9" w:rsidRPr="00020BC1">
              <w:rPr>
                <w:rFonts w:ascii="Montserrat" w:hAnsi="Montserrat"/>
                <w:b/>
              </w:rPr>
              <w:t>vidence-based protocol</w:t>
            </w:r>
            <w:r w:rsidR="00E337BF" w:rsidRPr="00020BC1">
              <w:rPr>
                <w:rFonts w:ascii="Montserrat" w:hAnsi="Montserrat"/>
                <w:b/>
              </w:rPr>
              <w:t xml:space="preserve"> (2022)</w:t>
            </w:r>
          </w:p>
        </w:tc>
        <w:tc>
          <w:tcPr>
            <w:tcW w:w="3789" w:type="dxa"/>
          </w:tcPr>
          <w:p w14:paraId="1EAA7DE3" w14:textId="6F7A0D96" w:rsidR="00FA6CE9" w:rsidRPr="00020BC1" w:rsidRDefault="00FA6CE9" w:rsidP="004A4FEE">
            <w:pPr>
              <w:rPr>
                <w:rFonts w:ascii="Montserrat" w:hAnsi="Montserrat"/>
                <w:b/>
              </w:rPr>
            </w:pPr>
            <w:r w:rsidRPr="00020BC1">
              <w:rPr>
                <w:rFonts w:ascii="Montserrat" w:hAnsi="Montserrat"/>
                <w:b/>
              </w:rPr>
              <w:t xml:space="preserve">FDA </w:t>
            </w:r>
            <w:r w:rsidR="004A4FEE" w:rsidRPr="00020BC1">
              <w:rPr>
                <w:rFonts w:ascii="Montserrat" w:hAnsi="Montserrat"/>
                <w:b/>
              </w:rPr>
              <w:t xml:space="preserve">label </w:t>
            </w:r>
            <w:r w:rsidRPr="00020BC1">
              <w:rPr>
                <w:rFonts w:ascii="Montserrat" w:hAnsi="Montserrat"/>
                <w:b/>
              </w:rPr>
              <w:t>(</w:t>
            </w:r>
            <w:r w:rsidR="009E40CC" w:rsidRPr="00020BC1">
              <w:rPr>
                <w:rFonts w:ascii="Montserrat" w:hAnsi="Montserrat"/>
                <w:b/>
              </w:rPr>
              <w:t xml:space="preserve">last updated in </w:t>
            </w:r>
            <w:r w:rsidRPr="00020BC1">
              <w:rPr>
                <w:rFonts w:ascii="Montserrat" w:hAnsi="Montserrat"/>
                <w:b/>
              </w:rPr>
              <w:t>2016)</w:t>
            </w:r>
          </w:p>
        </w:tc>
      </w:tr>
      <w:tr w:rsidR="00FA6CE9" w14:paraId="252DFD1C" w14:textId="77777777" w:rsidTr="004E32FC">
        <w:tc>
          <w:tcPr>
            <w:tcW w:w="2239" w:type="dxa"/>
          </w:tcPr>
          <w:p w14:paraId="2356D2AC" w14:textId="5170004B" w:rsidR="00FA6CE9" w:rsidRPr="00020BC1" w:rsidRDefault="00FA6CE9" w:rsidP="000F3B7C">
            <w:pPr>
              <w:rPr>
                <w:rFonts w:ascii="Montserrat" w:hAnsi="Montserrat"/>
                <w:b/>
              </w:rPr>
            </w:pPr>
            <w:r w:rsidRPr="00020BC1">
              <w:rPr>
                <w:rFonts w:ascii="Montserrat" w:hAnsi="Montserrat"/>
                <w:b/>
              </w:rPr>
              <w:t>Gestational age limit</w:t>
            </w:r>
          </w:p>
        </w:tc>
        <w:tc>
          <w:tcPr>
            <w:tcW w:w="4042" w:type="dxa"/>
          </w:tcPr>
          <w:p w14:paraId="54DCD66E" w14:textId="3458DEF4" w:rsidR="00FA6CE9" w:rsidRPr="00FA6CE9" w:rsidRDefault="009E40CC" w:rsidP="000F3B7C">
            <w:pPr>
              <w:rPr>
                <w:bCs/>
                <w:sz w:val="24"/>
                <w:szCs w:val="24"/>
              </w:rPr>
            </w:pPr>
            <w:r>
              <w:rPr>
                <w:bCs/>
                <w:sz w:val="24"/>
                <w:szCs w:val="24"/>
              </w:rPr>
              <w:t>84</w:t>
            </w:r>
            <w:r w:rsidR="00FA6CE9" w:rsidRPr="00FA6CE9">
              <w:rPr>
                <w:bCs/>
                <w:sz w:val="24"/>
                <w:szCs w:val="24"/>
              </w:rPr>
              <w:t xml:space="preserve"> days/1</w:t>
            </w:r>
            <w:r>
              <w:rPr>
                <w:bCs/>
                <w:sz w:val="24"/>
                <w:szCs w:val="24"/>
              </w:rPr>
              <w:t>2</w:t>
            </w:r>
            <w:r w:rsidR="00FA6CE9" w:rsidRPr="00FA6CE9">
              <w:rPr>
                <w:bCs/>
                <w:sz w:val="24"/>
                <w:szCs w:val="24"/>
              </w:rPr>
              <w:t xml:space="preserve"> weeks from LMP</w:t>
            </w:r>
          </w:p>
        </w:tc>
        <w:tc>
          <w:tcPr>
            <w:tcW w:w="3789" w:type="dxa"/>
          </w:tcPr>
          <w:p w14:paraId="371B1629" w14:textId="05453029" w:rsidR="00FA6CE9" w:rsidRPr="00FA6CE9" w:rsidRDefault="00FA6CE9" w:rsidP="000F3B7C">
            <w:pPr>
              <w:rPr>
                <w:bCs/>
                <w:sz w:val="24"/>
                <w:szCs w:val="24"/>
              </w:rPr>
            </w:pPr>
            <w:r w:rsidRPr="00FA6CE9">
              <w:rPr>
                <w:bCs/>
                <w:sz w:val="24"/>
                <w:szCs w:val="24"/>
              </w:rPr>
              <w:t>70 days/10 weeks from LMP</w:t>
            </w:r>
          </w:p>
        </w:tc>
      </w:tr>
      <w:tr w:rsidR="00FA6CE9" w14:paraId="32393CC5" w14:textId="77777777" w:rsidTr="004E32FC">
        <w:tc>
          <w:tcPr>
            <w:tcW w:w="2239" w:type="dxa"/>
          </w:tcPr>
          <w:p w14:paraId="7053E952" w14:textId="42094DEC" w:rsidR="00FA6CE9" w:rsidRPr="00020BC1" w:rsidRDefault="00FA6CE9" w:rsidP="000F3B7C">
            <w:pPr>
              <w:rPr>
                <w:rFonts w:ascii="Montserrat" w:hAnsi="Montserrat"/>
                <w:b/>
              </w:rPr>
            </w:pPr>
            <w:r w:rsidRPr="00020BC1">
              <w:rPr>
                <w:rFonts w:ascii="Montserrat" w:hAnsi="Montserrat"/>
                <w:b/>
              </w:rPr>
              <w:t>Mifepristone</w:t>
            </w:r>
          </w:p>
        </w:tc>
        <w:tc>
          <w:tcPr>
            <w:tcW w:w="4042" w:type="dxa"/>
          </w:tcPr>
          <w:p w14:paraId="7DD6287C" w14:textId="77777777" w:rsidR="00FA6CE9" w:rsidRPr="00FA6CE9" w:rsidRDefault="00FA6CE9" w:rsidP="000F3B7C">
            <w:pPr>
              <w:rPr>
                <w:bCs/>
                <w:sz w:val="24"/>
                <w:szCs w:val="24"/>
              </w:rPr>
            </w:pPr>
            <w:r w:rsidRPr="00FA6CE9">
              <w:rPr>
                <w:bCs/>
                <w:sz w:val="24"/>
                <w:szCs w:val="24"/>
              </w:rPr>
              <w:t>200mg orally</w:t>
            </w:r>
          </w:p>
          <w:p w14:paraId="5E2AD9EF" w14:textId="560A8D2C" w:rsidR="00FA6CE9" w:rsidRPr="00FA6CE9" w:rsidRDefault="00FA6CE9" w:rsidP="009F24CB">
            <w:pPr>
              <w:rPr>
                <w:bCs/>
                <w:sz w:val="24"/>
                <w:szCs w:val="24"/>
              </w:rPr>
            </w:pPr>
            <w:r w:rsidRPr="00FA6CE9">
              <w:rPr>
                <w:bCs/>
                <w:sz w:val="24"/>
                <w:szCs w:val="24"/>
              </w:rPr>
              <w:t>Dispensed</w:t>
            </w:r>
            <w:r w:rsidR="00E337BF">
              <w:rPr>
                <w:bCs/>
                <w:sz w:val="24"/>
                <w:szCs w:val="24"/>
              </w:rPr>
              <w:t>, mailed,</w:t>
            </w:r>
            <w:r w:rsidRPr="00FA6CE9">
              <w:rPr>
                <w:bCs/>
                <w:sz w:val="24"/>
                <w:szCs w:val="24"/>
              </w:rPr>
              <w:t xml:space="preserve"> </w:t>
            </w:r>
            <w:r w:rsidR="009F24CB">
              <w:rPr>
                <w:bCs/>
                <w:sz w:val="24"/>
                <w:szCs w:val="24"/>
              </w:rPr>
              <w:t>or prescribed</w:t>
            </w:r>
          </w:p>
        </w:tc>
        <w:tc>
          <w:tcPr>
            <w:tcW w:w="3789" w:type="dxa"/>
          </w:tcPr>
          <w:p w14:paraId="462BBDB0" w14:textId="77777777" w:rsidR="00FA6CE9" w:rsidRPr="00FA6CE9" w:rsidRDefault="00FA6CE9" w:rsidP="00FA6CE9">
            <w:pPr>
              <w:rPr>
                <w:bCs/>
                <w:sz w:val="24"/>
                <w:szCs w:val="24"/>
              </w:rPr>
            </w:pPr>
            <w:r w:rsidRPr="00FA6CE9">
              <w:rPr>
                <w:bCs/>
                <w:sz w:val="24"/>
                <w:szCs w:val="24"/>
              </w:rPr>
              <w:t>200mg orally</w:t>
            </w:r>
          </w:p>
          <w:p w14:paraId="2CF79C70" w14:textId="3B8CECD9" w:rsidR="00FA6CE9" w:rsidRPr="00FA6CE9" w:rsidRDefault="0A55F0DA" w:rsidP="000F2917">
            <w:pPr>
              <w:rPr>
                <w:sz w:val="24"/>
                <w:szCs w:val="24"/>
              </w:rPr>
            </w:pPr>
            <w:r w:rsidRPr="0A55F0DA">
              <w:rPr>
                <w:sz w:val="24"/>
                <w:szCs w:val="24"/>
              </w:rPr>
              <w:t>Dispensed</w:t>
            </w:r>
          </w:p>
        </w:tc>
      </w:tr>
      <w:tr w:rsidR="007A5F7B" w14:paraId="71B80B3A" w14:textId="77777777" w:rsidTr="004E32FC">
        <w:tc>
          <w:tcPr>
            <w:tcW w:w="2239" w:type="dxa"/>
          </w:tcPr>
          <w:p w14:paraId="62CAEA94" w14:textId="5FCC4346" w:rsidR="007A5F7B" w:rsidRPr="00020BC1" w:rsidRDefault="007A5F7B" w:rsidP="007A5F7B">
            <w:pPr>
              <w:rPr>
                <w:rFonts w:ascii="Montserrat" w:hAnsi="Montserrat"/>
                <w:b/>
              </w:rPr>
            </w:pPr>
            <w:r w:rsidRPr="00020BC1">
              <w:rPr>
                <w:rFonts w:ascii="Montserrat" w:hAnsi="Montserrat"/>
                <w:b/>
              </w:rPr>
              <w:t>Misoprostol</w:t>
            </w:r>
          </w:p>
        </w:tc>
        <w:tc>
          <w:tcPr>
            <w:tcW w:w="4042" w:type="dxa"/>
          </w:tcPr>
          <w:p w14:paraId="3A3DAF78" w14:textId="72DCD3AE" w:rsidR="007A5F7B" w:rsidRDefault="007A5F7B" w:rsidP="007A5F7B">
            <w:pPr>
              <w:rPr>
                <w:bCs/>
                <w:sz w:val="24"/>
                <w:szCs w:val="24"/>
              </w:rPr>
            </w:pPr>
            <w:r w:rsidRPr="00FA6CE9">
              <w:rPr>
                <w:bCs/>
                <w:sz w:val="24"/>
                <w:szCs w:val="24"/>
              </w:rPr>
              <w:t>800mcg buccally</w:t>
            </w:r>
            <w:r>
              <w:rPr>
                <w:bCs/>
                <w:sz w:val="24"/>
                <w:szCs w:val="24"/>
              </w:rPr>
              <w:t xml:space="preserve"> 24</w:t>
            </w:r>
            <w:r w:rsidR="00817E7B">
              <w:rPr>
                <w:rFonts w:cstheme="minorHAnsi"/>
                <w:bCs/>
                <w:sz w:val="24"/>
                <w:szCs w:val="24"/>
              </w:rPr>
              <w:t>‒</w:t>
            </w:r>
            <w:r>
              <w:rPr>
                <w:bCs/>
                <w:sz w:val="24"/>
                <w:szCs w:val="24"/>
              </w:rPr>
              <w:t>48 hours after mifepristone</w:t>
            </w:r>
            <w:r w:rsidR="00003F4F">
              <w:rPr>
                <w:bCs/>
                <w:sz w:val="24"/>
                <w:szCs w:val="24"/>
                <w:vertAlign w:val="superscript"/>
              </w:rPr>
              <w:t>3</w:t>
            </w:r>
            <w:r>
              <w:rPr>
                <w:bCs/>
                <w:sz w:val="24"/>
                <w:szCs w:val="24"/>
              </w:rPr>
              <w:t xml:space="preserve"> OR</w:t>
            </w:r>
          </w:p>
          <w:p w14:paraId="6B815CAB" w14:textId="77777777" w:rsidR="007A5F7B" w:rsidRDefault="007A5F7B" w:rsidP="007A5F7B">
            <w:pPr>
              <w:rPr>
                <w:bCs/>
                <w:sz w:val="24"/>
                <w:szCs w:val="24"/>
              </w:rPr>
            </w:pPr>
          </w:p>
          <w:p w14:paraId="5CCCF04C" w14:textId="1CB1C02F" w:rsidR="007A5F7B" w:rsidRPr="00691F9A" w:rsidRDefault="007A5F7B" w:rsidP="007A5F7B">
            <w:pPr>
              <w:rPr>
                <w:bCs/>
                <w:sz w:val="24"/>
                <w:szCs w:val="24"/>
                <w:vertAlign w:val="superscript"/>
              </w:rPr>
            </w:pPr>
            <w:r>
              <w:rPr>
                <w:bCs/>
                <w:sz w:val="24"/>
                <w:szCs w:val="24"/>
              </w:rPr>
              <w:t>800mcg vaginally 6</w:t>
            </w:r>
            <w:r w:rsidR="00817E7B">
              <w:rPr>
                <w:rFonts w:cstheme="minorHAnsi"/>
                <w:bCs/>
                <w:sz w:val="24"/>
                <w:szCs w:val="24"/>
              </w:rPr>
              <w:t>‒</w:t>
            </w:r>
            <w:r>
              <w:rPr>
                <w:bCs/>
                <w:sz w:val="24"/>
                <w:szCs w:val="24"/>
              </w:rPr>
              <w:t>72 hours after mifepristone</w:t>
            </w:r>
            <w:r w:rsidR="00691F9A">
              <w:rPr>
                <w:bCs/>
                <w:sz w:val="24"/>
                <w:szCs w:val="24"/>
                <w:vertAlign w:val="superscript"/>
              </w:rPr>
              <w:t>4</w:t>
            </w:r>
          </w:p>
          <w:p w14:paraId="4FC8891C" w14:textId="77777777" w:rsidR="00691F9A" w:rsidRPr="00FA6CE9" w:rsidRDefault="00691F9A" w:rsidP="007A5F7B">
            <w:pPr>
              <w:rPr>
                <w:bCs/>
                <w:sz w:val="24"/>
                <w:szCs w:val="24"/>
              </w:rPr>
            </w:pPr>
          </w:p>
          <w:p w14:paraId="01018F48" w14:textId="01168063" w:rsidR="007A5F7B" w:rsidRPr="00C84942" w:rsidRDefault="0A55F0DA" w:rsidP="0A55F0DA">
            <w:pPr>
              <w:rPr>
                <w:sz w:val="24"/>
                <w:szCs w:val="24"/>
              </w:rPr>
            </w:pPr>
            <w:r w:rsidRPr="0A55F0DA">
              <w:rPr>
                <w:sz w:val="24"/>
                <w:szCs w:val="24"/>
              </w:rPr>
              <w:t>A second 800mcg dose of misoprostol may be used 4 hours after the first for patients 6</w:t>
            </w:r>
            <w:r w:rsidR="00BA25BB">
              <w:rPr>
                <w:sz w:val="24"/>
                <w:szCs w:val="24"/>
              </w:rPr>
              <w:t>4</w:t>
            </w:r>
            <w:r w:rsidR="00BA25BB" w:rsidRPr="0A55F0DA">
              <w:rPr>
                <w:sz w:val="24"/>
                <w:szCs w:val="24"/>
              </w:rPr>
              <w:t>‒</w:t>
            </w:r>
            <w:r w:rsidRPr="0A55F0DA">
              <w:rPr>
                <w:sz w:val="24"/>
                <w:szCs w:val="24"/>
              </w:rPr>
              <w:t>70d, and is recommended for those 71‒84 days</w:t>
            </w:r>
            <w:r w:rsidR="00855EE3">
              <w:rPr>
                <w:sz w:val="24"/>
                <w:szCs w:val="24"/>
              </w:rPr>
              <w:t>.</w:t>
            </w:r>
            <w:r w:rsidRPr="0A55F0DA">
              <w:rPr>
                <w:sz w:val="24"/>
                <w:szCs w:val="24"/>
                <w:vertAlign w:val="superscript"/>
              </w:rPr>
              <w:t xml:space="preserve">5 </w:t>
            </w:r>
            <w:r w:rsidRPr="0A55F0DA">
              <w:rPr>
                <w:sz w:val="24"/>
                <w:szCs w:val="24"/>
              </w:rPr>
              <w:t>Second dose may be given as backup to all patients.</w:t>
            </w:r>
          </w:p>
          <w:p w14:paraId="2D2FCF78" w14:textId="77777777" w:rsidR="00CF1168" w:rsidRDefault="00CF1168" w:rsidP="007A5F7B">
            <w:pPr>
              <w:rPr>
                <w:bCs/>
                <w:sz w:val="24"/>
                <w:szCs w:val="24"/>
              </w:rPr>
            </w:pPr>
          </w:p>
          <w:p w14:paraId="33E26FA9" w14:textId="7595A955" w:rsidR="007A5F7B" w:rsidRPr="0043400A" w:rsidRDefault="007A5F7B" w:rsidP="007A5F7B">
            <w:pPr>
              <w:rPr>
                <w:bCs/>
                <w:sz w:val="24"/>
                <w:szCs w:val="24"/>
                <w:vertAlign w:val="superscript"/>
              </w:rPr>
            </w:pPr>
            <w:r w:rsidRPr="00FA6CE9">
              <w:rPr>
                <w:bCs/>
                <w:sz w:val="24"/>
                <w:szCs w:val="24"/>
              </w:rPr>
              <w:lastRenderedPageBreak/>
              <w:t>Dispensed</w:t>
            </w:r>
            <w:r w:rsidR="002D2B5D">
              <w:rPr>
                <w:bCs/>
                <w:sz w:val="24"/>
                <w:szCs w:val="24"/>
              </w:rPr>
              <w:t>, mailed,</w:t>
            </w:r>
            <w:r w:rsidRPr="00FA6CE9">
              <w:rPr>
                <w:bCs/>
                <w:sz w:val="24"/>
                <w:szCs w:val="24"/>
              </w:rPr>
              <w:t xml:space="preserve"> or prescribed</w:t>
            </w:r>
          </w:p>
          <w:p w14:paraId="1D960928" w14:textId="77777777" w:rsidR="007A5F7B" w:rsidRPr="00FA6CE9" w:rsidRDefault="007A5F7B" w:rsidP="007A5F7B">
            <w:pPr>
              <w:rPr>
                <w:bCs/>
                <w:sz w:val="24"/>
                <w:szCs w:val="24"/>
              </w:rPr>
            </w:pPr>
          </w:p>
        </w:tc>
        <w:tc>
          <w:tcPr>
            <w:tcW w:w="3789" w:type="dxa"/>
          </w:tcPr>
          <w:p w14:paraId="317AC335" w14:textId="205161EF" w:rsidR="007A5F7B" w:rsidRPr="00FA6CE9" w:rsidRDefault="007A5F7B" w:rsidP="007A5F7B">
            <w:pPr>
              <w:rPr>
                <w:bCs/>
                <w:sz w:val="24"/>
                <w:szCs w:val="24"/>
              </w:rPr>
            </w:pPr>
            <w:r w:rsidRPr="00FA6CE9">
              <w:rPr>
                <w:bCs/>
                <w:sz w:val="24"/>
                <w:szCs w:val="24"/>
              </w:rPr>
              <w:lastRenderedPageBreak/>
              <w:t>800mcg buccally</w:t>
            </w:r>
            <w:r w:rsidR="00A90066">
              <w:rPr>
                <w:bCs/>
                <w:sz w:val="24"/>
                <w:szCs w:val="24"/>
              </w:rPr>
              <w:t>,</w:t>
            </w:r>
            <w:r>
              <w:rPr>
                <w:bCs/>
                <w:sz w:val="24"/>
                <w:szCs w:val="24"/>
              </w:rPr>
              <w:t xml:space="preserve"> </w:t>
            </w:r>
            <w:r w:rsidRPr="00FA6CE9">
              <w:rPr>
                <w:bCs/>
                <w:sz w:val="24"/>
                <w:szCs w:val="24"/>
              </w:rPr>
              <w:t>24</w:t>
            </w:r>
            <w:r>
              <w:rPr>
                <w:rFonts w:cstheme="minorHAnsi"/>
                <w:bCs/>
                <w:sz w:val="24"/>
                <w:szCs w:val="24"/>
              </w:rPr>
              <w:t>‒</w:t>
            </w:r>
            <w:r w:rsidRPr="00FA6CE9">
              <w:rPr>
                <w:bCs/>
                <w:sz w:val="24"/>
                <w:szCs w:val="24"/>
              </w:rPr>
              <w:t>48 hours after mife</w:t>
            </w:r>
            <w:r>
              <w:rPr>
                <w:bCs/>
                <w:sz w:val="24"/>
                <w:szCs w:val="24"/>
              </w:rPr>
              <w:t>pristone</w:t>
            </w:r>
          </w:p>
          <w:p w14:paraId="0BD01AC3" w14:textId="77777777" w:rsidR="007A5F7B" w:rsidRDefault="007A5F7B" w:rsidP="007A5F7B">
            <w:pPr>
              <w:rPr>
                <w:bCs/>
                <w:sz w:val="24"/>
                <w:szCs w:val="24"/>
              </w:rPr>
            </w:pPr>
          </w:p>
          <w:p w14:paraId="1FEA11C2" w14:textId="17A7BC73" w:rsidR="00C84942" w:rsidRPr="00FA6CE9" w:rsidRDefault="00D0454F" w:rsidP="000F2917">
            <w:pPr>
              <w:rPr>
                <w:sz w:val="24"/>
                <w:szCs w:val="24"/>
              </w:rPr>
            </w:pPr>
            <w:r>
              <w:rPr>
                <w:sz w:val="24"/>
                <w:szCs w:val="24"/>
              </w:rPr>
              <w:t>Dispensed</w:t>
            </w:r>
          </w:p>
        </w:tc>
      </w:tr>
      <w:tr w:rsidR="007A5F7B" w14:paraId="7645513D" w14:textId="77777777" w:rsidTr="004E32FC">
        <w:tc>
          <w:tcPr>
            <w:tcW w:w="2239" w:type="dxa"/>
          </w:tcPr>
          <w:p w14:paraId="5979B187" w14:textId="4E0FDB0C" w:rsidR="007A5F7B" w:rsidRDefault="007A5F7B" w:rsidP="00624910">
            <w:pPr>
              <w:rPr>
                <w:b/>
                <w:sz w:val="24"/>
                <w:szCs w:val="24"/>
              </w:rPr>
            </w:pPr>
            <w:r>
              <w:rPr>
                <w:b/>
                <w:sz w:val="24"/>
                <w:szCs w:val="24"/>
              </w:rPr>
              <w:t>Follow up</w:t>
            </w:r>
            <w:r w:rsidR="00FA4B63">
              <w:rPr>
                <w:b/>
                <w:sz w:val="24"/>
                <w:szCs w:val="24"/>
              </w:rPr>
              <w:t xml:space="preserve"> </w:t>
            </w:r>
          </w:p>
          <w:p w14:paraId="122ADB29" w14:textId="65405274" w:rsidR="00624910" w:rsidRDefault="00624910" w:rsidP="00624910">
            <w:pPr>
              <w:rPr>
                <w:b/>
                <w:sz w:val="24"/>
                <w:szCs w:val="24"/>
              </w:rPr>
            </w:pPr>
            <w:r>
              <w:rPr>
                <w:b/>
                <w:sz w:val="24"/>
                <w:szCs w:val="24"/>
              </w:rPr>
              <w:t>(optional)</w:t>
            </w:r>
          </w:p>
        </w:tc>
        <w:tc>
          <w:tcPr>
            <w:tcW w:w="4042" w:type="dxa"/>
          </w:tcPr>
          <w:p w14:paraId="0562F005" w14:textId="2ECCF225" w:rsidR="007A5F7B" w:rsidRPr="00E535BC" w:rsidRDefault="0012540A" w:rsidP="6BB5251C">
            <w:pPr>
              <w:rPr>
                <w:sz w:val="24"/>
                <w:szCs w:val="24"/>
              </w:rPr>
            </w:pPr>
            <w:r>
              <w:rPr>
                <w:sz w:val="24"/>
                <w:szCs w:val="24"/>
              </w:rPr>
              <w:t>Per patient preference, c</w:t>
            </w:r>
            <w:r w:rsidR="0A55F0DA" w:rsidRPr="0A55F0DA">
              <w:rPr>
                <w:sz w:val="24"/>
                <w:szCs w:val="24"/>
              </w:rPr>
              <w:t>an be offered in person or remotely and scheduled for 4‒14 days after mifepristone.</w:t>
            </w:r>
          </w:p>
          <w:p w14:paraId="5683048A" w14:textId="16645675" w:rsidR="0A55F0DA" w:rsidRDefault="00642E4C" w:rsidP="0A55F0DA">
            <w:pPr>
              <w:rPr>
                <w:sz w:val="24"/>
                <w:szCs w:val="24"/>
              </w:rPr>
            </w:pPr>
            <w:r>
              <w:rPr>
                <w:sz w:val="24"/>
                <w:szCs w:val="24"/>
              </w:rPr>
              <w:t xml:space="preserve">Also </w:t>
            </w:r>
            <w:r w:rsidR="0058174F">
              <w:rPr>
                <w:sz w:val="24"/>
                <w:szCs w:val="24"/>
              </w:rPr>
              <w:t>per</w:t>
            </w:r>
            <w:r>
              <w:rPr>
                <w:sz w:val="24"/>
                <w:szCs w:val="24"/>
              </w:rPr>
              <w:t xml:space="preserve"> patient </w:t>
            </w:r>
            <w:r w:rsidR="0058174F">
              <w:rPr>
                <w:sz w:val="24"/>
                <w:szCs w:val="24"/>
              </w:rPr>
              <w:t>preference</w:t>
            </w:r>
            <w:r w:rsidR="0A55F0DA" w:rsidRPr="0A55F0DA">
              <w:rPr>
                <w:sz w:val="24"/>
                <w:szCs w:val="24"/>
              </w:rPr>
              <w:t xml:space="preserve">, </w:t>
            </w:r>
            <w:r>
              <w:rPr>
                <w:sz w:val="24"/>
                <w:szCs w:val="24"/>
              </w:rPr>
              <w:t>clinicians</w:t>
            </w:r>
            <w:r w:rsidR="0A55F0DA" w:rsidRPr="0A55F0DA">
              <w:rPr>
                <w:sz w:val="24"/>
                <w:szCs w:val="24"/>
              </w:rPr>
              <w:t xml:space="preserve"> can offer a follow</w:t>
            </w:r>
            <w:r w:rsidR="0012528A">
              <w:rPr>
                <w:sz w:val="24"/>
                <w:szCs w:val="24"/>
              </w:rPr>
              <w:t>-</w:t>
            </w:r>
            <w:r w:rsidR="0A55F0DA" w:rsidRPr="0A55F0DA">
              <w:rPr>
                <w:sz w:val="24"/>
                <w:szCs w:val="24"/>
              </w:rPr>
              <w:t xml:space="preserve">up </w:t>
            </w:r>
            <w:r w:rsidR="006B695E">
              <w:rPr>
                <w:sz w:val="24"/>
                <w:szCs w:val="24"/>
              </w:rPr>
              <w:t>5</w:t>
            </w:r>
            <w:r>
              <w:rPr>
                <w:rFonts w:cstheme="minorHAnsi"/>
                <w:sz w:val="24"/>
                <w:szCs w:val="24"/>
              </w:rPr>
              <w:t>‒</w:t>
            </w:r>
            <w:r w:rsidR="0A55F0DA" w:rsidRPr="0A55F0DA">
              <w:rPr>
                <w:sz w:val="24"/>
                <w:szCs w:val="24"/>
              </w:rPr>
              <w:t xml:space="preserve">6 </w:t>
            </w:r>
            <w:r>
              <w:rPr>
                <w:sz w:val="24"/>
                <w:szCs w:val="24"/>
              </w:rPr>
              <w:t>weeks after</w:t>
            </w:r>
            <w:r w:rsidR="0A55F0DA" w:rsidRPr="0A55F0DA">
              <w:rPr>
                <w:sz w:val="24"/>
                <w:szCs w:val="24"/>
              </w:rPr>
              <w:t xml:space="preserve"> initial dose of mifepristone to</w:t>
            </w:r>
            <w:r w:rsidR="0058174F">
              <w:rPr>
                <w:sz w:val="24"/>
                <w:szCs w:val="24"/>
              </w:rPr>
              <w:t xml:space="preserve"> discuss UPT result and</w:t>
            </w:r>
            <w:r w:rsidR="0A55F0DA" w:rsidRPr="0A55F0DA">
              <w:rPr>
                <w:sz w:val="24"/>
                <w:szCs w:val="24"/>
              </w:rPr>
              <w:t xml:space="preserve"> confirm abortion completion.</w:t>
            </w:r>
          </w:p>
          <w:p w14:paraId="11267ED3" w14:textId="233669A0" w:rsidR="007A5F7B" w:rsidRPr="00E535BC" w:rsidRDefault="007A5F7B" w:rsidP="007A5F7B">
            <w:pPr>
              <w:ind w:left="720"/>
              <w:rPr>
                <w:bCs/>
                <w:sz w:val="24"/>
                <w:szCs w:val="24"/>
              </w:rPr>
            </w:pPr>
          </w:p>
        </w:tc>
        <w:tc>
          <w:tcPr>
            <w:tcW w:w="3789" w:type="dxa"/>
          </w:tcPr>
          <w:p w14:paraId="0CDC30B5" w14:textId="74235780" w:rsidR="007A5F7B" w:rsidRPr="00E535BC" w:rsidRDefault="007A5F7B" w:rsidP="007A5F7B">
            <w:pPr>
              <w:rPr>
                <w:bCs/>
                <w:sz w:val="24"/>
                <w:szCs w:val="24"/>
              </w:rPr>
            </w:pPr>
            <w:r w:rsidRPr="00E535BC">
              <w:rPr>
                <w:bCs/>
                <w:sz w:val="24"/>
                <w:szCs w:val="24"/>
              </w:rPr>
              <w:t>7</w:t>
            </w:r>
            <w:r>
              <w:rPr>
                <w:rFonts w:cstheme="minorHAnsi"/>
                <w:bCs/>
                <w:sz w:val="24"/>
                <w:szCs w:val="24"/>
              </w:rPr>
              <w:t>‒</w:t>
            </w:r>
            <w:r w:rsidRPr="00E535BC">
              <w:rPr>
                <w:bCs/>
                <w:sz w:val="24"/>
                <w:szCs w:val="24"/>
              </w:rPr>
              <w:t>14 days after mifepristone</w:t>
            </w:r>
            <w:r>
              <w:rPr>
                <w:bCs/>
                <w:sz w:val="24"/>
                <w:szCs w:val="24"/>
              </w:rPr>
              <w:t xml:space="preserve">, </w:t>
            </w:r>
            <w:r w:rsidR="00CF1168">
              <w:rPr>
                <w:bCs/>
                <w:sz w:val="24"/>
                <w:szCs w:val="24"/>
              </w:rPr>
              <w:t>in person or remote</w:t>
            </w:r>
            <w:r>
              <w:rPr>
                <w:bCs/>
                <w:sz w:val="24"/>
                <w:szCs w:val="24"/>
              </w:rPr>
              <w:t xml:space="preserve"> </w:t>
            </w:r>
            <w:r w:rsidR="0043400A">
              <w:rPr>
                <w:bCs/>
                <w:sz w:val="24"/>
                <w:szCs w:val="24"/>
              </w:rPr>
              <w:t>(</w:t>
            </w:r>
            <w:r>
              <w:rPr>
                <w:bCs/>
                <w:sz w:val="24"/>
                <w:szCs w:val="24"/>
              </w:rPr>
              <w:t>not specified</w:t>
            </w:r>
            <w:r w:rsidR="0043400A">
              <w:rPr>
                <w:bCs/>
                <w:sz w:val="24"/>
                <w:szCs w:val="24"/>
              </w:rPr>
              <w:t>)</w:t>
            </w:r>
          </w:p>
        </w:tc>
      </w:tr>
      <w:tr w:rsidR="007A5F7B" w14:paraId="5F90AAC2" w14:textId="77777777" w:rsidTr="004E32FC">
        <w:tc>
          <w:tcPr>
            <w:tcW w:w="2239" w:type="dxa"/>
          </w:tcPr>
          <w:p w14:paraId="5C4A87EC" w14:textId="780A3AF0" w:rsidR="007A5F7B" w:rsidRDefault="007A5F7B" w:rsidP="007A5F7B">
            <w:pPr>
              <w:rPr>
                <w:b/>
                <w:sz w:val="24"/>
                <w:szCs w:val="24"/>
              </w:rPr>
            </w:pPr>
            <w:r>
              <w:rPr>
                <w:b/>
                <w:sz w:val="24"/>
                <w:szCs w:val="24"/>
              </w:rPr>
              <w:t>Who can provide</w:t>
            </w:r>
          </w:p>
        </w:tc>
        <w:tc>
          <w:tcPr>
            <w:tcW w:w="4042" w:type="dxa"/>
          </w:tcPr>
          <w:p w14:paraId="324D3ED4" w14:textId="6D26C3D8" w:rsidR="007A5F7B" w:rsidRDefault="0058174F" w:rsidP="35D322AB">
            <w:pPr>
              <w:rPr>
                <w:b/>
                <w:bCs/>
                <w:sz w:val="24"/>
                <w:szCs w:val="24"/>
              </w:rPr>
            </w:pPr>
            <w:r>
              <w:rPr>
                <w:sz w:val="24"/>
                <w:szCs w:val="24"/>
              </w:rPr>
              <w:t>P</w:t>
            </w:r>
            <w:r w:rsidR="35D322AB" w:rsidRPr="35D322AB">
              <w:rPr>
                <w:sz w:val="24"/>
                <w:szCs w:val="24"/>
              </w:rPr>
              <w:t xml:space="preserve">rovided by or under the supervision of a </w:t>
            </w:r>
            <w:r w:rsidR="00F239F2">
              <w:rPr>
                <w:sz w:val="24"/>
                <w:szCs w:val="24"/>
              </w:rPr>
              <w:t>clinician</w:t>
            </w:r>
          </w:p>
        </w:tc>
        <w:tc>
          <w:tcPr>
            <w:tcW w:w="3789" w:type="dxa"/>
          </w:tcPr>
          <w:p w14:paraId="5870198A" w14:textId="03343440" w:rsidR="007A5F7B" w:rsidRPr="00E535BC" w:rsidRDefault="0058174F" w:rsidP="0065723C">
            <w:pPr>
              <w:rPr>
                <w:bCs/>
                <w:sz w:val="24"/>
                <w:szCs w:val="24"/>
              </w:rPr>
            </w:pPr>
            <w:r>
              <w:rPr>
                <w:sz w:val="24"/>
                <w:szCs w:val="24"/>
              </w:rPr>
              <w:t>P</w:t>
            </w:r>
            <w:r w:rsidR="007A5F7B">
              <w:rPr>
                <w:sz w:val="24"/>
                <w:szCs w:val="24"/>
              </w:rPr>
              <w:t xml:space="preserve">rovided by or under the supervision of </w:t>
            </w:r>
            <w:r w:rsidR="0065723C">
              <w:rPr>
                <w:sz w:val="24"/>
                <w:szCs w:val="24"/>
              </w:rPr>
              <w:t>a clinician</w:t>
            </w:r>
          </w:p>
        </w:tc>
      </w:tr>
    </w:tbl>
    <w:p w14:paraId="3EC40864" w14:textId="77777777" w:rsidR="003826E7" w:rsidRPr="003D3023" w:rsidRDefault="003826E7" w:rsidP="000F3B7C">
      <w:pPr>
        <w:rPr>
          <w:b/>
          <w:sz w:val="24"/>
          <w:szCs w:val="24"/>
        </w:rPr>
      </w:pPr>
    </w:p>
    <w:p w14:paraId="7D4F4135" w14:textId="2E1545CD" w:rsidR="000F3B7C" w:rsidRPr="004E32FC" w:rsidRDefault="00C87163" w:rsidP="000F3B7C">
      <w:pPr>
        <w:spacing w:after="0"/>
        <w:rPr>
          <w:rFonts w:ascii="Montserrat" w:hAnsi="Montserrat"/>
          <w:b/>
          <w:sz w:val="24"/>
          <w:szCs w:val="24"/>
        </w:rPr>
      </w:pPr>
      <w:r w:rsidRPr="004E32FC">
        <w:rPr>
          <w:rFonts w:ascii="Montserrat" w:hAnsi="Montserrat"/>
          <w:b/>
          <w:sz w:val="24"/>
          <w:szCs w:val="24"/>
        </w:rPr>
        <w:t>Before</w:t>
      </w:r>
      <w:r w:rsidR="000F3B7C" w:rsidRPr="004E32FC">
        <w:rPr>
          <w:rFonts w:ascii="Montserrat" w:hAnsi="Montserrat"/>
          <w:b/>
          <w:sz w:val="24"/>
          <w:szCs w:val="24"/>
        </w:rPr>
        <w:t xml:space="preserve"> the abortion:</w:t>
      </w:r>
      <w:r w:rsidR="00D01134" w:rsidRPr="004E32FC">
        <w:rPr>
          <w:rFonts w:ascii="Montserrat" w:hAnsi="Montserrat"/>
          <w:b/>
          <w:sz w:val="24"/>
          <w:szCs w:val="24"/>
        </w:rPr>
        <w:t xml:space="preserve"> </w:t>
      </w:r>
      <w:r w:rsidR="006D0EF8" w:rsidRPr="004E32FC">
        <w:rPr>
          <w:rFonts w:ascii="Montserrat" w:hAnsi="Montserrat"/>
          <w:b/>
          <w:sz w:val="24"/>
          <w:szCs w:val="24"/>
        </w:rPr>
        <w:t xml:space="preserve"> </w:t>
      </w:r>
    </w:p>
    <w:p w14:paraId="72DF2E70" w14:textId="0E9DB20B" w:rsidR="00E46B79" w:rsidRDefault="00812DC1" w:rsidP="000F3B7C">
      <w:pPr>
        <w:numPr>
          <w:ilvl w:val="0"/>
          <w:numId w:val="4"/>
        </w:numPr>
        <w:spacing w:after="0" w:line="240" w:lineRule="auto"/>
      </w:pPr>
      <w:r>
        <w:t>D</w:t>
      </w:r>
      <w:r w:rsidR="00E46B79">
        <w:t>ocument</w:t>
      </w:r>
      <w:r w:rsidR="006C750A">
        <w:t xml:space="preserve"> </w:t>
      </w:r>
      <w:r w:rsidR="00A152C5">
        <w:t>patient</w:t>
      </w:r>
      <w:r>
        <w:t xml:space="preserve">’s preferred contact info and method </w:t>
      </w:r>
      <w:r w:rsidR="00A152C5">
        <w:t>(i</w:t>
      </w:r>
      <w:r w:rsidR="00460914">
        <w:t>.</w:t>
      </w:r>
      <w:r w:rsidR="00A152C5">
        <w:t>e.</w:t>
      </w:r>
      <w:r w:rsidR="00460914">
        <w:t>,</w:t>
      </w:r>
      <w:r w:rsidR="00A152C5">
        <w:t xml:space="preserve"> </w:t>
      </w:r>
      <w:r w:rsidR="00E46B79">
        <w:t>phone,</w:t>
      </w:r>
      <w:r>
        <w:t xml:space="preserve"> email, portal,</w:t>
      </w:r>
      <w:r w:rsidR="00E46B79">
        <w:t xml:space="preserve"> etc</w:t>
      </w:r>
      <w:r w:rsidR="00460914">
        <w:t>.</w:t>
      </w:r>
      <w:r w:rsidR="00E46B79">
        <w:t>)</w:t>
      </w:r>
    </w:p>
    <w:p w14:paraId="17930BC3" w14:textId="52C4135B" w:rsidR="00C92CDB" w:rsidRDefault="00812DC1" w:rsidP="00C92CDB">
      <w:pPr>
        <w:numPr>
          <w:ilvl w:val="0"/>
          <w:numId w:val="4"/>
        </w:numPr>
        <w:spacing w:after="0" w:line="240" w:lineRule="auto"/>
      </w:pPr>
      <w:r>
        <w:t xml:space="preserve">Determine </w:t>
      </w:r>
      <w:r w:rsidR="00C92CDB">
        <w:t>eligibility</w:t>
      </w:r>
      <w:r w:rsidR="00164EFF">
        <w:t xml:space="preserve"> (</w:t>
      </w:r>
      <w:r>
        <w:t xml:space="preserve">confirm pregnancy and </w:t>
      </w:r>
      <w:r w:rsidR="00164EFF">
        <w:t>rule out contraindications)</w:t>
      </w:r>
    </w:p>
    <w:p w14:paraId="77057213" w14:textId="07B42FF2" w:rsidR="00F051F9" w:rsidRDefault="00193EF6" w:rsidP="000F3B7C">
      <w:pPr>
        <w:numPr>
          <w:ilvl w:val="0"/>
          <w:numId w:val="4"/>
        </w:numPr>
        <w:spacing w:after="0" w:line="240" w:lineRule="auto"/>
      </w:pPr>
      <w:r>
        <w:t>Determine g</w:t>
      </w:r>
      <w:r w:rsidR="00F051F9">
        <w:t xml:space="preserve">estational </w:t>
      </w:r>
      <w:r>
        <w:t>a</w:t>
      </w:r>
      <w:r w:rsidR="00F051F9">
        <w:t>ge (GA)</w:t>
      </w:r>
      <w:r>
        <w:t xml:space="preserve"> </w:t>
      </w:r>
      <w:r>
        <w:rPr>
          <w:rFonts w:cstheme="minorHAnsi"/>
        </w:rPr>
        <w:t>≤</w:t>
      </w:r>
      <w:r>
        <w:t xml:space="preserve"> </w:t>
      </w:r>
      <w:r w:rsidR="001C626E">
        <w:t>84</w:t>
      </w:r>
      <w:r>
        <w:t xml:space="preserve"> days</w:t>
      </w:r>
      <w:r w:rsidR="00003F4F">
        <w:rPr>
          <w:vertAlign w:val="superscript"/>
        </w:rPr>
        <w:t>1</w:t>
      </w:r>
      <w:r w:rsidR="00F72BE3">
        <w:rPr>
          <w:vertAlign w:val="superscript"/>
        </w:rPr>
        <w:t xml:space="preserve"> </w:t>
      </w:r>
      <w:r w:rsidR="00F72BE3">
        <w:t>using:</w:t>
      </w:r>
    </w:p>
    <w:p w14:paraId="612240EB" w14:textId="63E288AA" w:rsidR="001C626E" w:rsidRDefault="000F3B7C" w:rsidP="00A50F61">
      <w:pPr>
        <w:numPr>
          <w:ilvl w:val="1"/>
          <w:numId w:val="8"/>
        </w:numPr>
        <w:spacing w:after="0" w:line="240" w:lineRule="auto"/>
      </w:pPr>
      <w:r>
        <w:t>LMP</w:t>
      </w:r>
      <w:r w:rsidR="006A53BD">
        <w:rPr>
          <w:vertAlign w:val="superscript"/>
        </w:rPr>
        <w:t>6</w:t>
      </w:r>
      <w:r w:rsidR="00A278C0">
        <w:rPr>
          <w:vertAlign w:val="superscript"/>
        </w:rPr>
        <w:t>,</w:t>
      </w:r>
      <w:r w:rsidR="006A53BD">
        <w:rPr>
          <w:vertAlign w:val="superscript"/>
        </w:rPr>
        <w:t>7</w:t>
      </w:r>
      <w:r>
        <w:t xml:space="preserve"> </w:t>
      </w:r>
      <w:r w:rsidR="00DE4C30">
        <w:t xml:space="preserve"> </w:t>
      </w:r>
    </w:p>
    <w:p w14:paraId="26F6389E" w14:textId="048AC1D3" w:rsidR="00F051F9" w:rsidRDefault="001C626E" w:rsidP="00A50F61">
      <w:pPr>
        <w:numPr>
          <w:ilvl w:val="1"/>
          <w:numId w:val="8"/>
        </w:numPr>
        <w:spacing w:after="0" w:line="240" w:lineRule="auto"/>
      </w:pPr>
      <w:r>
        <w:t>B</w:t>
      </w:r>
      <w:r w:rsidR="000F3B7C">
        <w:t>imanual exam</w:t>
      </w:r>
      <w:r w:rsidR="00164EFF">
        <w:t xml:space="preserve"> </w:t>
      </w:r>
      <w:r w:rsidR="00334CB0">
        <w:t>only if indicated</w:t>
      </w:r>
      <w:r w:rsidR="00334CB0">
        <w:rPr>
          <w:vertAlign w:val="superscript"/>
        </w:rPr>
        <w:t>8</w:t>
      </w:r>
      <w:r w:rsidR="000F3B7C">
        <w:t xml:space="preserve"> </w:t>
      </w:r>
    </w:p>
    <w:p w14:paraId="4EE6C6A9" w14:textId="0DFC5205" w:rsidR="000F3B7C" w:rsidRPr="000F3B7C" w:rsidRDefault="001A1962" w:rsidP="00A50F61">
      <w:pPr>
        <w:numPr>
          <w:ilvl w:val="1"/>
          <w:numId w:val="8"/>
        </w:numPr>
        <w:spacing w:after="0" w:line="240" w:lineRule="auto"/>
      </w:pPr>
      <w:r>
        <w:t>U</w:t>
      </w:r>
      <w:r w:rsidR="00F051F9">
        <w:t>ltrasound only if indicated</w:t>
      </w:r>
      <w:r w:rsidR="00940731">
        <w:rPr>
          <w:vertAlign w:val="superscript"/>
        </w:rPr>
        <w:t>9,10</w:t>
      </w:r>
      <w:r w:rsidR="00A865DB">
        <w:t xml:space="preserve"> or required by law</w:t>
      </w:r>
      <w:r w:rsidR="00507FBF">
        <w:rPr>
          <w:vertAlign w:val="superscript"/>
        </w:rPr>
        <w:t>11</w:t>
      </w:r>
      <w:r w:rsidR="00F051F9">
        <w:t xml:space="preserve"> </w:t>
      </w:r>
      <w:r w:rsidR="00954850">
        <w:t>(</w:t>
      </w:r>
      <w:r w:rsidR="00507FBF">
        <w:t xml:space="preserve">also </w:t>
      </w:r>
      <w:r w:rsidR="00954850">
        <w:t xml:space="preserve">see </w:t>
      </w:r>
      <w:hyperlink r:id="rId9" w:history="1">
        <w:r w:rsidR="00E535BC">
          <w:rPr>
            <w:rStyle w:val="Hyperlink"/>
          </w:rPr>
          <w:t>Ultrasound-as-Needed Pr</w:t>
        </w:r>
        <w:r w:rsidR="00E535BC">
          <w:rPr>
            <w:rStyle w:val="Hyperlink"/>
          </w:rPr>
          <w:t>o</w:t>
        </w:r>
        <w:r w:rsidR="00E535BC">
          <w:rPr>
            <w:rStyle w:val="Hyperlink"/>
          </w:rPr>
          <w:t>tocol</w:t>
        </w:r>
      </w:hyperlink>
      <w:r w:rsidR="00954850">
        <w:t>)</w:t>
      </w:r>
    </w:p>
    <w:p w14:paraId="1423B2A9" w14:textId="2255763C" w:rsidR="00C92CDB" w:rsidRDefault="00526685" w:rsidP="002A5ED2">
      <w:pPr>
        <w:pStyle w:val="ListParagraph"/>
        <w:numPr>
          <w:ilvl w:val="0"/>
          <w:numId w:val="8"/>
        </w:numPr>
        <w:spacing w:after="0"/>
      </w:pPr>
      <w:r>
        <w:t xml:space="preserve">Rh testing and RhIg administration (for Rh negative patients) not needed for patients </w:t>
      </w:r>
      <w:r>
        <w:rPr>
          <w:rFonts w:cstheme="minorHAnsi"/>
        </w:rPr>
        <w:t>&lt;</w:t>
      </w:r>
      <w:r w:rsidR="00FB5993">
        <w:rPr>
          <w:rFonts w:cstheme="minorHAnsi"/>
        </w:rPr>
        <w:t xml:space="preserve">70 days and may be waived before </w:t>
      </w:r>
      <w:r w:rsidR="009D413D">
        <w:t>84</w:t>
      </w:r>
      <w:r>
        <w:t xml:space="preserve"> days</w:t>
      </w:r>
      <w:r w:rsidR="00130CB1" w:rsidRPr="00130CB1">
        <w:t>.</w:t>
      </w:r>
      <w:r w:rsidR="00AA72E7">
        <w:rPr>
          <w:vertAlign w:val="superscript"/>
        </w:rPr>
        <w:t>12</w:t>
      </w:r>
      <w:r w:rsidR="00C92CDB">
        <w:t xml:space="preserve"> </w:t>
      </w:r>
    </w:p>
    <w:p w14:paraId="313530A2" w14:textId="317F48AE" w:rsidR="000F3B7C" w:rsidRDefault="0A55F0DA" w:rsidP="000F3B7C">
      <w:pPr>
        <w:numPr>
          <w:ilvl w:val="0"/>
          <w:numId w:val="4"/>
        </w:numPr>
        <w:spacing w:after="0" w:line="240" w:lineRule="auto"/>
      </w:pPr>
      <w:r>
        <w:t xml:space="preserve">Complete </w:t>
      </w:r>
      <w:hyperlink r:id="rId10" w:history="1">
        <w:r w:rsidRPr="00155C83">
          <w:rPr>
            <w:rStyle w:val="Hyperlink"/>
          </w:rPr>
          <w:t>Mifepristone Patient Agreement</w:t>
        </w:r>
      </w:hyperlink>
      <w:bookmarkStart w:id="0" w:name="_GoBack"/>
      <w:bookmarkEnd w:id="0"/>
      <w:r>
        <w:t xml:space="preserve"> and any other consents specific to the practice facility.</w:t>
      </w:r>
    </w:p>
    <w:p w14:paraId="60977D48" w14:textId="721E0B5D" w:rsidR="000F3B7C" w:rsidRDefault="0A55F0DA" w:rsidP="000F3B7C">
      <w:pPr>
        <w:numPr>
          <w:ilvl w:val="0"/>
          <w:numId w:val="4"/>
        </w:numPr>
        <w:spacing w:after="0" w:line="240" w:lineRule="auto"/>
      </w:pPr>
      <w:r>
        <w:t xml:space="preserve">Dispense or prescribe </w:t>
      </w:r>
      <w:r w:rsidR="00254831">
        <w:t xml:space="preserve">mifepristone </w:t>
      </w:r>
      <w:r>
        <w:t>200mg for oral use and discuss day and time patient will take (including</w:t>
      </w:r>
      <w:r w:rsidR="008B7131">
        <w:t xml:space="preserve"> </w:t>
      </w:r>
      <w:r>
        <w:t>that same day in the office if the patient chooses)</w:t>
      </w:r>
    </w:p>
    <w:p w14:paraId="2EAE2978" w14:textId="014E47BC" w:rsidR="000F3B7C" w:rsidRDefault="000F3B7C" w:rsidP="000F3B7C">
      <w:pPr>
        <w:numPr>
          <w:ilvl w:val="0"/>
          <w:numId w:val="4"/>
        </w:numPr>
        <w:spacing w:after="0" w:line="240" w:lineRule="auto"/>
      </w:pPr>
      <w:r>
        <w:t>Dispense</w:t>
      </w:r>
      <w:r w:rsidR="009F24CB">
        <w:t xml:space="preserve"> or prescribe</w:t>
      </w:r>
      <w:r>
        <w:t xml:space="preserve"> </w:t>
      </w:r>
      <w:r w:rsidR="00254831">
        <w:t xml:space="preserve">misoprostol </w:t>
      </w:r>
      <w:r>
        <w:t>800mcg</w:t>
      </w:r>
      <w:r w:rsidR="00164EFF">
        <w:t xml:space="preserve"> (x2 doses</w:t>
      </w:r>
      <w:r w:rsidR="00BC31AD">
        <w:t xml:space="preserve"> depending on GA</w:t>
      </w:r>
      <w:r w:rsidR="001C626E">
        <w:t xml:space="preserve"> and other </w:t>
      </w:r>
      <w:r w:rsidR="002A1FA0">
        <w:t>circumstances</w:t>
      </w:r>
      <w:r w:rsidR="002A1FA0">
        <w:rPr>
          <w:vertAlign w:val="superscript"/>
        </w:rPr>
        <w:t>5</w:t>
      </w:r>
      <w:r w:rsidR="00164EFF">
        <w:t>)</w:t>
      </w:r>
      <w:r>
        <w:t xml:space="preserve"> and </w:t>
      </w:r>
      <w:r w:rsidR="00A50F61">
        <w:t xml:space="preserve">discuss </w:t>
      </w:r>
      <w:r>
        <w:t>day and time patient will take</w:t>
      </w:r>
      <w:r w:rsidR="009D413D">
        <w:t xml:space="preserve"> it</w:t>
      </w:r>
    </w:p>
    <w:p w14:paraId="129D4767" w14:textId="083D514C" w:rsidR="00252048" w:rsidRDefault="00252048" w:rsidP="00252048">
      <w:pPr>
        <w:numPr>
          <w:ilvl w:val="1"/>
          <w:numId w:val="4"/>
        </w:numPr>
        <w:spacing w:after="0" w:line="240" w:lineRule="auto"/>
      </w:pPr>
      <w:r>
        <w:t>Patient will take 1</w:t>
      </w:r>
      <w:r w:rsidRPr="00252048">
        <w:rPr>
          <w:vertAlign w:val="superscript"/>
        </w:rPr>
        <w:t>st</w:t>
      </w:r>
      <w:r>
        <w:t xml:space="preserve"> dose (800mcg) at the agreed upon time</w:t>
      </w:r>
    </w:p>
    <w:p w14:paraId="01B4B302" w14:textId="5503D3D5" w:rsidR="00252048" w:rsidRPr="005737A9" w:rsidRDefault="00252048" w:rsidP="00252048">
      <w:pPr>
        <w:numPr>
          <w:ilvl w:val="1"/>
          <w:numId w:val="4"/>
        </w:numPr>
        <w:spacing w:after="0" w:line="240" w:lineRule="auto"/>
      </w:pPr>
      <w:r>
        <w:t xml:space="preserve">Patients who are &gt;63 days </w:t>
      </w:r>
      <w:r w:rsidR="0036270B">
        <w:t>may</w:t>
      </w:r>
      <w:r>
        <w:t xml:space="preserve"> </w:t>
      </w:r>
      <w:r w:rsidR="005737A9">
        <w:t>be advised to take</w:t>
      </w:r>
      <w:r>
        <w:t xml:space="preserve"> the 2</w:t>
      </w:r>
      <w:r w:rsidRPr="00252048">
        <w:rPr>
          <w:vertAlign w:val="superscript"/>
        </w:rPr>
        <w:t>nd</w:t>
      </w:r>
      <w:r>
        <w:t xml:space="preserve"> dose </w:t>
      </w:r>
      <w:r w:rsidR="005737A9">
        <w:t xml:space="preserve">of misoprostol </w:t>
      </w:r>
      <w:r>
        <w:t xml:space="preserve">4 hours after the </w:t>
      </w:r>
      <w:r w:rsidR="002A1FA0">
        <w:t>first</w:t>
      </w:r>
      <w:r w:rsidR="002A1FA0">
        <w:rPr>
          <w:vertAlign w:val="superscript"/>
        </w:rPr>
        <w:t>5</w:t>
      </w:r>
    </w:p>
    <w:p w14:paraId="2547499B" w14:textId="756F6436" w:rsidR="005737A9" w:rsidRDefault="000C7C43" w:rsidP="00252048">
      <w:pPr>
        <w:numPr>
          <w:ilvl w:val="1"/>
          <w:numId w:val="4"/>
        </w:numPr>
        <w:spacing w:after="0" w:line="240" w:lineRule="auto"/>
      </w:pPr>
      <w:r>
        <w:t xml:space="preserve">Patients who are </w:t>
      </w:r>
      <w:r w:rsidR="009D413D">
        <w:t>≤</w:t>
      </w:r>
      <w:r>
        <w:t>63 days may be instructed to hold onto the 2</w:t>
      </w:r>
      <w:r w:rsidRPr="000C7C43">
        <w:rPr>
          <w:vertAlign w:val="superscript"/>
        </w:rPr>
        <w:t>nd</w:t>
      </w:r>
      <w:r>
        <w:t xml:space="preserve"> dose and use only after discussion with their provider</w:t>
      </w:r>
    </w:p>
    <w:p w14:paraId="6A79B32A" w14:textId="187B0136" w:rsidR="00C12D9A" w:rsidRPr="00274465" w:rsidRDefault="0A55F0DA">
      <w:pPr>
        <w:numPr>
          <w:ilvl w:val="0"/>
          <w:numId w:val="4"/>
        </w:numPr>
        <w:spacing w:after="0" w:line="240" w:lineRule="auto"/>
      </w:pPr>
      <w:r>
        <w:t>Prescribe pain medications (ibuprofen 800mg 30 minutes before misoprostol, then 400</w:t>
      </w:r>
      <w:r w:rsidRPr="0A55F0DA">
        <w:t>‒</w:t>
      </w:r>
      <w:r>
        <w:t>800mg q6h</w:t>
      </w:r>
      <w:r w:rsidR="00DA3523">
        <w:t>rs</w:t>
      </w:r>
      <w:r>
        <w:t xml:space="preserve"> as needed. Also as needed, offer acetaminophen with narcotic (</w:t>
      </w:r>
      <w:r w:rsidR="008B7131">
        <w:t xml:space="preserve">e.g., </w:t>
      </w:r>
      <w:r>
        <w:t>5/325mg) and anti-emetic</w:t>
      </w:r>
      <w:r w:rsidR="00DA3523">
        <w:t xml:space="preserve"> (e.g., ondansetron ODT 4mg</w:t>
      </w:r>
      <w:r w:rsidR="00E17688">
        <w:t xml:space="preserve"> SL</w:t>
      </w:r>
      <w:r w:rsidR="00DA3523">
        <w:t xml:space="preserve"> q4hrs</w:t>
      </w:r>
      <w:r w:rsidR="00DA3523" w:rsidRPr="00DA3523">
        <w:t xml:space="preserve"> prn</w:t>
      </w:r>
      <w:r w:rsidR="00DA3523">
        <w:t xml:space="preserve"> or </w:t>
      </w:r>
      <w:r w:rsidR="00B201FC">
        <w:t>promethazine</w:t>
      </w:r>
      <w:r w:rsidR="00DA3523">
        <w:t xml:space="preserve"> 25mg po prn q6hrs)</w:t>
      </w:r>
      <w:r w:rsidR="00186832">
        <w:t>.</w:t>
      </w:r>
    </w:p>
    <w:p w14:paraId="59DB328A" w14:textId="57F9BF93" w:rsidR="000F3B7C" w:rsidRPr="00274465" w:rsidRDefault="35D322AB" w:rsidP="000F3B7C">
      <w:pPr>
        <w:numPr>
          <w:ilvl w:val="0"/>
          <w:numId w:val="4"/>
        </w:numPr>
        <w:spacing w:after="0" w:line="240" w:lineRule="auto"/>
      </w:pPr>
      <w:r>
        <w:t xml:space="preserve">Review </w:t>
      </w:r>
      <w:hyperlink r:id="rId11">
        <w:r w:rsidRPr="35D322AB">
          <w:rPr>
            <w:rStyle w:val="Hyperlink"/>
          </w:rPr>
          <w:t>Information for Patients after Medication Abortion</w:t>
        </w:r>
      </w:hyperlink>
      <w:r>
        <w:t xml:space="preserve"> </w:t>
      </w:r>
    </w:p>
    <w:p w14:paraId="492EC1A2" w14:textId="6740DD60" w:rsidR="00E46B79" w:rsidRDefault="00E46B79" w:rsidP="00F735C0">
      <w:pPr>
        <w:pStyle w:val="ListParagraph"/>
        <w:numPr>
          <w:ilvl w:val="0"/>
          <w:numId w:val="4"/>
        </w:numPr>
        <w:spacing w:after="0" w:line="240" w:lineRule="auto"/>
      </w:pPr>
      <w:r>
        <w:t>Confirm that patient knows how to reach the medical team if needed</w:t>
      </w:r>
      <w:r w:rsidR="00F40F82">
        <w:t>, including after</w:t>
      </w:r>
      <w:r w:rsidR="0010616E">
        <w:t xml:space="preserve"> office </w:t>
      </w:r>
      <w:r w:rsidR="00F40F82">
        <w:t>hours</w:t>
      </w:r>
      <w:r w:rsidR="0077264A">
        <w:t xml:space="preserve"> if available</w:t>
      </w:r>
    </w:p>
    <w:p w14:paraId="664E1942" w14:textId="41EA20FA" w:rsidR="00B637A8" w:rsidRDefault="000F3B7C" w:rsidP="002A4232">
      <w:pPr>
        <w:numPr>
          <w:ilvl w:val="0"/>
          <w:numId w:val="4"/>
        </w:numPr>
        <w:spacing w:after="0" w:line="240" w:lineRule="auto"/>
      </w:pPr>
      <w:r>
        <w:t>D</w:t>
      </w:r>
      <w:r w:rsidR="00CB04E3">
        <w:t xml:space="preserve">iscuss a </w:t>
      </w:r>
      <w:r w:rsidR="008D41EF">
        <w:t xml:space="preserve">remote or in-person </w:t>
      </w:r>
      <w:r w:rsidR="00CB04E3">
        <w:t>follow-</w:t>
      </w:r>
      <w:r>
        <w:t>up</w:t>
      </w:r>
      <w:r w:rsidR="00AA4A16" w:rsidRPr="002A4232">
        <w:rPr>
          <w:vertAlign w:val="superscript"/>
        </w:rPr>
        <w:t>1</w:t>
      </w:r>
      <w:r w:rsidR="004667E5">
        <w:rPr>
          <w:vertAlign w:val="superscript"/>
        </w:rPr>
        <w:t>3</w:t>
      </w:r>
      <w:r>
        <w:t xml:space="preserve"> </w:t>
      </w:r>
      <w:r w:rsidR="00954850">
        <w:t>plan</w:t>
      </w:r>
      <w:r w:rsidR="00CB04E3">
        <w:t xml:space="preserve"> with the patient</w:t>
      </w:r>
      <w:r w:rsidR="001C626E">
        <w:t xml:space="preserve">. </w:t>
      </w:r>
    </w:p>
    <w:p w14:paraId="2492657C" w14:textId="7836DE90" w:rsidR="00B637A8" w:rsidRDefault="004E4B69" w:rsidP="002D2B5D">
      <w:pPr>
        <w:numPr>
          <w:ilvl w:val="1"/>
          <w:numId w:val="4"/>
        </w:numPr>
        <w:spacing w:after="0" w:line="240" w:lineRule="auto"/>
      </w:pPr>
      <w:r>
        <w:t xml:space="preserve">If </w:t>
      </w:r>
      <w:r w:rsidR="00EB4640">
        <w:t xml:space="preserve">the </w:t>
      </w:r>
      <w:r>
        <w:t xml:space="preserve">patient wants a follow-up visit, they can make </w:t>
      </w:r>
      <w:r w:rsidR="00B637A8">
        <w:t xml:space="preserve">an </w:t>
      </w:r>
      <w:r>
        <w:t xml:space="preserve">appointment </w:t>
      </w:r>
      <w:r w:rsidRPr="0060058C">
        <w:t xml:space="preserve">for </w:t>
      </w:r>
      <w:r w:rsidR="00235011" w:rsidRPr="0060058C">
        <w:t>4</w:t>
      </w:r>
      <w:r w:rsidR="00EB4640" w:rsidRPr="00235011">
        <w:rPr>
          <w:rFonts w:cstheme="minorHAnsi"/>
        </w:rPr>
        <w:t>‒</w:t>
      </w:r>
      <w:r w:rsidRPr="00235011">
        <w:t>14</w:t>
      </w:r>
      <w:r>
        <w:t xml:space="preserve"> days after taking the mifepristone </w:t>
      </w:r>
    </w:p>
    <w:p w14:paraId="2508BD59" w14:textId="4DFFDEAD" w:rsidR="00E61B10" w:rsidRDefault="0A55F0DA" w:rsidP="002D2B5D">
      <w:pPr>
        <w:numPr>
          <w:ilvl w:val="1"/>
          <w:numId w:val="4"/>
        </w:numPr>
        <w:spacing w:after="0" w:line="240" w:lineRule="auto"/>
      </w:pPr>
      <w:r>
        <w:lastRenderedPageBreak/>
        <w:t xml:space="preserve">If patient chooses UPT follow-up, provide test or advise patient they can take one on their own </w:t>
      </w:r>
      <w:r w:rsidR="007E679D">
        <w:t>5</w:t>
      </w:r>
      <w:r w:rsidR="00BC120D">
        <w:rPr>
          <w:rFonts w:cstheme="minorHAnsi"/>
        </w:rPr>
        <w:t>‒</w:t>
      </w:r>
      <w:r w:rsidR="00BC120D">
        <w:t>6 weeks</w:t>
      </w:r>
      <w:r>
        <w:t xml:space="preserve"> after using mifepristone. Also offer the patient in-person or telemedicine follow up at this time if desired. </w:t>
      </w:r>
    </w:p>
    <w:p w14:paraId="21C7341A" w14:textId="01EF7069" w:rsidR="000F3B7C" w:rsidRDefault="001C626E" w:rsidP="002D2B5D">
      <w:pPr>
        <w:numPr>
          <w:ilvl w:val="1"/>
          <w:numId w:val="4"/>
        </w:numPr>
        <w:spacing w:after="0" w:line="240" w:lineRule="auto"/>
      </w:pPr>
      <w:r>
        <w:t>If patient chooses serum HCG follow up, draw/order initial serum level</w:t>
      </w:r>
      <w:r w:rsidR="00350EA3">
        <w:t xml:space="preserve"> </w:t>
      </w:r>
      <w:r w:rsidR="002A4232">
        <w:t>and schedule appointment for follow-up blood test</w:t>
      </w:r>
    </w:p>
    <w:p w14:paraId="72269186" w14:textId="6C0E741A" w:rsidR="00C12D9A" w:rsidRDefault="0A55F0DA" w:rsidP="000F3B7C">
      <w:pPr>
        <w:numPr>
          <w:ilvl w:val="0"/>
          <w:numId w:val="4"/>
        </w:numPr>
        <w:spacing w:after="0" w:line="240" w:lineRule="auto"/>
      </w:pPr>
      <w:r>
        <w:t>Ask the patient if they want to discuss contraception the same day or in the future,</w:t>
      </w:r>
      <w:r w:rsidRPr="0A55F0DA">
        <w:rPr>
          <w:vertAlign w:val="superscript"/>
        </w:rPr>
        <w:t>1</w:t>
      </w:r>
      <w:r w:rsidR="004667E5">
        <w:rPr>
          <w:vertAlign w:val="superscript"/>
        </w:rPr>
        <w:t>4</w:t>
      </w:r>
      <w:r w:rsidRPr="0A55F0DA">
        <w:rPr>
          <w:rFonts w:cs="Times New Roman (Body CS)"/>
        </w:rPr>
        <w:t xml:space="preserve"> or not at all</w:t>
      </w:r>
    </w:p>
    <w:p w14:paraId="4CA9B7D7" w14:textId="7D9AD701" w:rsidR="00E46B79" w:rsidRDefault="00CB04E3" w:rsidP="000F3B7C">
      <w:pPr>
        <w:numPr>
          <w:ilvl w:val="0"/>
          <w:numId w:val="4"/>
        </w:numPr>
        <w:spacing w:after="0" w:line="240" w:lineRule="auto"/>
      </w:pPr>
      <w:r>
        <w:t>Complete m</w:t>
      </w:r>
      <w:r w:rsidR="00E46B79">
        <w:t>andated reporting form as per city or state</w:t>
      </w:r>
      <w:r w:rsidR="0036270B">
        <w:t xml:space="preserve"> protocol</w:t>
      </w:r>
    </w:p>
    <w:p w14:paraId="25FE9E2E" w14:textId="77777777" w:rsidR="000F3B7C" w:rsidRDefault="000F3B7C" w:rsidP="000F3B7C">
      <w:pPr>
        <w:spacing w:after="0" w:line="240" w:lineRule="auto"/>
      </w:pPr>
    </w:p>
    <w:p w14:paraId="340713D8" w14:textId="7EB5B6F7" w:rsidR="000F3B7C" w:rsidRPr="004E32FC" w:rsidRDefault="000F3B7C" w:rsidP="0047249F">
      <w:pPr>
        <w:spacing w:after="80" w:line="240" w:lineRule="auto"/>
        <w:rPr>
          <w:rFonts w:ascii="Montserrat" w:hAnsi="Montserrat"/>
          <w:b/>
          <w:sz w:val="24"/>
          <w:szCs w:val="24"/>
        </w:rPr>
      </w:pPr>
      <w:r w:rsidRPr="004E32FC">
        <w:rPr>
          <w:rFonts w:ascii="Montserrat" w:hAnsi="Montserrat"/>
          <w:b/>
          <w:sz w:val="24"/>
          <w:szCs w:val="24"/>
        </w:rPr>
        <w:t>At follow up:</w:t>
      </w:r>
    </w:p>
    <w:p w14:paraId="1B964F56" w14:textId="0DAF1DD7" w:rsidR="00B66939" w:rsidRDefault="0A55F0DA" w:rsidP="000F3B7C">
      <w:pPr>
        <w:numPr>
          <w:ilvl w:val="0"/>
          <w:numId w:val="4"/>
        </w:numPr>
        <w:spacing w:after="0" w:line="240" w:lineRule="auto"/>
      </w:pPr>
      <w:r>
        <w:t>Whether in-person or remote, confirm with patient (at 4</w:t>
      </w:r>
      <w:r w:rsidR="00BC120D">
        <w:rPr>
          <w:rFonts w:cstheme="minorHAnsi"/>
        </w:rPr>
        <w:t>‒</w:t>
      </w:r>
      <w:r>
        <w:t>14 days):</w:t>
      </w:r>
    </w:p>
    <w:p w14:paraId="5641F926" w14:textId="22D0D9D2" w:rsidR="00B66939" w:rsidRDefault="000F3B7C" w:rsidP="00B66939">
      <w:pPr>
        <w:numPr>
          <w:ilvl w:val="1"/>
          <w:numId w:val="4"/>
        </w:numPr>
        <w:spacing w:after="0" w:line="240" w:lineRule="auto"/>
      </w:pPr>
      <w:r>
        <w:t>history of bleeding and cramping consistent with passage of pregnancy</w:t>
      </w:r>
      <w:r w:rsidR="00E46B79">
        <w:t xml:space="preserve"> </w:t>
      </w:r>
    </w:p>
    <w:p w14:paraId="0E9103BD" w14:textId="706E65BD" w:rsidR="000F3B7C" w:rsidRDefault="00D27263" w:rsidP="006634AF">
      <w:pPr>
        <w:numPr>
          <w:ilvl w:val="1"/>
          <w:numId w:val="4"/>
        </w:numPr>
        <w:spacing w:after="0" w:line="240" w:lineRule="auto"/>
      </w:pPr>
      <w:r>
        <w:t xml:space="preserve">they </w:t>
      </w:r>
      <w:r w:rsidR="00E46B79">
        <w:t>no longer feel pregnant</w:t>
      </w:r>
    </w:p>
    <w:p w14:paraId="4B9C3D23" w14:textId="52F4BEFC" w:rsidR="001F6A0F" w:rsidRDefault="0A55F0DA" w:rsidP="00350EA3">
      <w:pPr>
        <w:numPr>
          <w:ilvl w:val="0"/>
          <w:numId w:val="4"/>
        </w:numPr>
        <w:spacing w:after="0" w:line="240" w:lineRule="auto"/>
      </w:pPr>
      <w:r>
        <w:t xml:space="preserve">If patient chose beta-HCG follow-up, second serum HCG level can be drawn as early as 3 days after taking mifepristone. (Serum HCG </w:t>
      </w:r>
      <w:r w:rsidR="00FE61F6">
        <w:t>should decrease 50% by 3 days, 60% by 4−5 days, and 80% by 7 days</w:t>
      </w:r>
      <w:r w:rsidRPr="004E32FC">
        <w:t>)</w:t>
      </w:r>
    </w:p>
    <w:p w14:paraId="000F44D6" w14:textId="64532248" w:rsidR="0A55F0DA" w:rsidRDefault="0A55F0DA" w:rsidP="0A55F0DA">
      <w:pPr>
        <w:numPr>
          <w:ilvl w:val="0"/>
          <w:numId w:val="4"/>
        </w:numPr>
        <w:spacing w:after="0" w:line="240" w:lineRule="auto"/>
        <w:rPr>
          <w:rFonts w:eastAsiaTheme="minorEastAsia"/>
        </w:rPr>
      </w:pPr>
      <w:r>
        <w:t>Consider a sonogram if patient still feels pregnant, uncertain history, or inconclusive HCG drop</w:t>
      </w:r>
    </w:p>
    <w:p w14:paraId="4EF25E53" w14:textId="124F9959" w:rsidR="00072117" w:rsidRDefault="0A55F0DA" w:rsidP="00350EA3">
      <w:pPr>
        <w:numPr>
          <w:ilvl w:val="0"/>
          <w:numId w:val="4"/>
        </w:numPr>
        <w:spacing w:after="0" w:line="240" w:lineRule="auto"/>
      </w:pPr>
      <w:r>
        <w:t xml:space="preserve">If patient chose UPT follow-up, test should be done </w:t>
      </w:r>
      <w:r w:rsidR="007C4BC5">
        <w:t>5</w:t>
      </w:r>
      <w:r w:rsidR="000064DF">
        <w:t>-6</w:t>
      </w:r>
      <w:r>
        <w:t xml:space="preserve"> weeks after mifepristone</w:t>
      </w:r>
      <w:r w:rsidR="004B60E5">
        <w:t xml:space="preserve"> is taken</w:t>
      </w:r>
      <w:r>
        <w:t>. If patient decides to do the test on their own, advise them to contact the office if result is positive</w:t>
      </w:r>
      <w:r w:rsidR="00372223">
        <w:t>.</w:t>
      </w:r>
    </w:p>
    <w:p w14:paraId="3D559BE6" w14:textId="4B7715C7" w:rsidR="00BB31DF" w:rsidRDefault="00BB31DF"/>
    <w:p w14:paraId="7075FC89" w14:textId="0558631A" w:rsidR="005369AF" w:rsidRPr="004E32FC" w:rsidRDefault="005369AF">
      <w:pPr>
        <w:rPr>
          <w:rFonts w:ascii="Montserrat" w:hAnsi="Montserrat"/>
          <w:b/>
          <w:sz w:val="24"/>
          <w:szCs w:val="24"/>
          <w:u w:val="single"/>
        </w:rPr>
      </w:pPr>
      <w:r w:rsidRPr="004E32FC">
        <w:rPr>
          <w:rFonts w:ascii="Montserrat" w:hAnsi="Montserrat"/>
          <w:b/>
          <w:sz w:val="24"/>
          <w:szCs w:val="24"/>
          <w:u w:val="single"/>
        </w:rPr>
        <w:t>Notes</w:t>
      </w:r>
      <w:r w:rsidR="00003F4F" w:rsidRPr="004E32FC">
        <w:rPr>
          <w:rFonts w:ascii="Montserrat" w:hAnsi="Montserrat"/>
          <w:b/>
          <w:sz w:val="24"/>
          <w:szCs w:val="24"/>
          <w:u w:val="single"/>
        </w:rPr>
        <w:t xml:space="preserve"> and References</w:t>
      </w:r>
    </w:p>
    <w:p w14:paraId="052C5759" w14:textId="6AE5EB88" w:rsidR="00773F7E" w:rsidRPr="00AA72E7" w:rsidRDefault="35D322AB">
      <w:pPr>
        <w:rPr>
          <w:sz w:val="20"/>
          <w:szCs w:val="20"/>
        </w:rPr>
      </w:pPr>
      <w:r w:rsidRPr="35D322AB">
        <w:rPr>
          <w:sz w:val="20"/>
          <w:szCs w:val="20"/>
        </w:rPr>
        <w:t xml:space="preserve">1. Note that the 2016 FDA protocol specifies a GA limit of 70 days from LMP and several </w:t>
      </w:r>
      <w:r w:rsidR="00C95883">
        <w:rPr>
          <w:sz w:val="20"/>
          <w:szCs w:val="20"/>
        </w:rPr>
        <w:t xml:space="preserve">U.S. </w:t>
      </w:r>
      <w:r w:rsidRPr="35D322AB">
        <w:rPr>
          <w:sz w:val="20"/>
          <w:szCs w:val="20"/>
        </w:rPr>
        <w:t xml:space="preserve">states require providers to adhere to this limit. (See </w:t>
      </w:r>
      <w:hyperlink r:id="rId12">
        <w:r w:rsidRPr="35D322AB">
          <w:rPr>
            <w:rStyle w:val="Hyperlink"/>
            <w:sz w:val="20"/>
            <w:szCs w:val="20"/>
          </w:rPr>
          <w:t>http://lawatlas.org/datasets/medication-abortion-requirements</w:t>
        </w:r>
      </w:hyperlink>
      <w:r w:rsidRPr="35D322AB">
        <w:rPr>
          <w:sz w:val="20"/>
          <w:szCs w:val="20"/>
        </w:rPr>
        <w:t xml:space="preserve"> for more information.) However, current literature </w:t>
      </w:r>
      <w:r w:rsidR="00C95883">
        <w:rPr>
          <w:sz w:val="20"/>
          <w:szCs w:val="20"/>
        </w:rPr>
        <w:t>and WHO guidelines support</w:t>
      </w:r>
      <w:r w:rsidRPr="35D322AB">
        <w:rPr>
          <w:sz w:val="20"/>
          <w:szCs w:val="20"/>
        </w:rPr>
        <w:t xml:space="preserve"> medication abortion being safe and effective through 84 days from LMP. See:</w:t>
      </w:r>
      <w:r w:rsidR="00450064">
        <w:rPr>
          <w:sz w:val="20"/>
          <w:szCs w:val="20"/>
        </w:rPr>
        <w:t xml:space="preserve"> </w:t>
      </w:r>
      <w:r w:rsidR="00C95883">
        <w:rPr>
          <w:sz w:val="20"/>
          <w:szCs w:val="20"/>
        </w:rPr>
        <w:t>WHO, Abortion Care guideline.</w:t>
      </w:r>
      <w:r w:rsidR="00C95883" w:rsidRPr="00C95883">
        <w:rPr>
          <w:sz w:val="20"/>
          <w:szCs w:val="20"/>
        </w:rPr>
        <w:t xml:space="preserve"> March 9, 2022</w:t>
      </w:r>
      <w:r w:rsidR="00C95883">
        <w:rPr>
          <w:sz w:val="20"/>
          <w:szCs w:val="20"/>
        </w:rPr>
        <w:t xml:space="preserve">. </w:t>
      </w:r>
      <w:hyperlink r:id="rId13" w:history="1">
        <w:r w:rsidR="00C95883" w:rsidRPr="00C95883">
          <w:rPr>
            <w:rStyle w:val="Hyperlink"/>
            <w:sz w:val="20"/>
            <w:szCs w:val="20"/>
          </w:rPr>
          <w:t>https://www.who.int/publications/i/item/9789240039483</w:t>
        </w:r>
      </w:hyperlink>
      <w:r w:rsidR="00C95883">
        <w:rPr>
          <w:sz w:val="20"/>
          <w:szCs w:val="20"/>
        </w:rPr>
        <w:t>;</w:t>
      </w:r>
      <w:r w:rsidR="00450064">
        <w:rPr>
          <w:sz w:val="20"/>
          <w:szCs w:val="20"/>
        </w:rPr>
        <w:t xml:space="preserve"> </w:t>
      </w:r>
      <w:r w:rsidRPr="35D322AB">
        <w:rPr>
          <w:sz w:val="20"/>
          <w:szCs w:val="20"/>
        </w:rPr>
        <w:t>Dzuba I</w:t>
      </w:r>
      <w:r w:rsidR="000D3EB2">
        <w:rPr>
          <w:sz w:val="20"/>
          <w:szCs w:val="20"/>
        </w:rPr>
        <w:t>,</w:t>
      </w:r>
      <w:r w:rsidRPr="35D322AB">
        <w:rPr>
          <w:sz w:val="20"/>
          <w:szCs w:val="20"/>
        </w:rPr>
        <w:t xml:space="preserve"> et al. A Non-Inferiority Study of Outpatient Mifepristone-Misoprostol Medical Abortion at 64-70 Days and 71-77 Days of Gestation. Contraception. 2020 101(5):302‐308. DOI: </w:t>
      </w:r>
      <w:hyperlink r:id="rId14">
        <w:r w:rsidRPr="35D322AB">
          <w:rPr>
            <w:rStyle w:val="Hyperlink"/>
            <w:sz w:val="20"/>
            <w:szCs w:val="20"/>
          </w:rPr>
          <w:t>10.1016/j.contraception.2020.01.009</w:t>
        </w:r>
      </w:hyperlink>
      <w:r w:rsidRPr="35D322AB">
        <w:rPr>
          <w:sz w:val="20"/>
          <w:szCs w:val="20"/>
        </w:rPr>
        <w:t xml:space="preserve">; Kapp N, et al. Medical Abortion in the Late First Trimester: A Systematic Review. Contraception. 2019 99(2):77-86.ces: DOI: </w:t>
      </w:r>
      <w:hyperlink r:id="rId15">
        <w:r w:rsidRPr="35D322AB">
          <w:rPr>
            <w:rStyle w:val="Hyperlink"/>
            <w:sz w:val="20"/>
            <w:szCs w:val="20"/>
          </w:rPr>
          <w:t>10.1016/j.contraception.2018.11.002</w:t>
        </w:r>
      </w:hyperlink>
      <w:r w:rsidR="000064DF">
        <w:rPr>
          <w:rStyle w:val="Hyperlink"/>
          <w:sz w:val="20"/>
          <w:szCs w:val="20"/>
        </w:rPr>
        <w:t>.</w:t>
      </w:r>
      <w:r w:rsidR="000D3EB2">
        <w:rPr>
          <w:sz w:val="20"/>
          <w:szCs w:val="20"/>
        </w:rPr>
        <w:t xml:space="preserve"> </w:t>
      </w:r>
    </w:p>
    <w:p w14:paraId="001C3AC3" w14:textId="1EFD7F42" w:rsidR="00732C3E" w:rsidRPr="00AA72E7" w:rsidRDefault="00773F7E" w:rsidP="006A0106">
      <w:pPr>
        <w:pStyle w:val="ListParagraph"/>
        <w:ind w:left="0"/>
        <w:rPr>
          <w:sz w:val="20"/>
          <w:szCs w:val="20"/>
        </w:rPr>
      </w:pPr>
      <w:r w:rsidRPr="00AA72E7">
        <w:rPr>
          <w:sz w:val="20"/>
          <w:szCs w:val="20"/>
        </w:rPr>
        <w:t>2. Ectopic pregnancy is not a true “contraindication” to medication abortion with mifepristone and misoprostol. Thesemedications are not effective at ending an ectopic pregnancy, but they will not cause a rupture or further complicate an ectopic pregnancy.</w:t>
      </w:r>
      <w:r w:rsidR="006A0106" w:rsidRPr="00AA72E7">
        <w:rPr>
          <w:sz w:val="20"/>
          <w:szCs w:val="20"/>
        </w:rPr>
        <w:t xml:space="preserve"> See Shannon C, et al.  Ectopic pregnancy and medical abortion. Obstetrics and Gynecology 2004;104(1):161</w:t>
      </w:r>
      <w:r w:rsidR="006A0106" w:rsidRPr="00AA72E7">
        <w:rPr>
          <w:rFonts w:cstheme="minorHAnsi"/>
          <w:sz w:val="20"/>
          <w:szCs w:val="20"/>
        </w:rPr>
        <w:t>‒</w:t>
      </w:r>
      <w:r w:rsidR="006A0106" w:rsidRPr="00AA72E7">
        <w:rPr>
          <w:sz w:val="20"/>
          <w:szCs w:val="20"/>
        </w:rPr>
        <w:t xml:space="preserve">7. DOI: </w:t>
      </w:r>
      <w:hyperlink r:id="rId16" w:history="1">
        <w:r w:rsidR="006A0106" w:rsidRPr="00AA72E7">
          <w:rPr>
            <w:rStyle w:val="Hyperlink"/>
            <w:sz w:val="20"/>
            <w:szCs w:val="20"/>
          </w:rPr>
          <w:t>10.1097/01.AOG.0000130839.61098.12</w:t>
        </w:r>
      </w:hyperlink>
      <w:r w:rsidR="006A0106" w:rsidRPr="00AA72E7">
        <w:rPr>
          <w:sz w:val="20"/>
          <w:szCs w:val="20"/>
        </w:rPr>
        <w:t xml:space="preserve">. </w:t>
      </w:r>
      <w:r w:rsidR="00732C3E" w:rsidRPr="00AA72E7">
        <w:rPr>
          <w:sz w:val="20"/>
          <w:szCs w:val="20"/>
        </w:rPr>
        <w:t>Patients with ectopic pregnancies should be offered an effective treatment.</w:t>
      </w:r>
    </w:p>
    <w:p w14:paraId="63DDEC62" w14:textId="04B9E7D2" w:rsidR="00691F9A" w:rsidRPr="00AA72E7" w:rsidRDefault="00003F4F" w:rsidP="00665F72">
      <w:pPr>
        <w:rPr>
          <w:sz w:val="20"/>
          <w:szCs w:val="20"/>
        </w:rPr>
      </w:pPr>
      <w:r w:rsidRPr="00AA72E7">
        <w:rPr>
          <w:sz w:val="20"/>
          <w:szCs w:val="20"/>
        </w:rPr>
        <w:t xml:space="preserve">3. </w:t>
      </w:r>
      <w:r w:rsidR="00AA72E7" w:rsidRPr="00AA72E7">
        <w:rPr>
          <w:sz w:val="20"/>
          <w:szCs w:val="20"/>
        </w:rPr>
        <w:t>Chen MJ,</w:t>
      </w:r>
      <w:r w:rsidR="00C92CDB" w:rsidRPr="00AA72E7">
        <w:rPr>
          <w:sz w:val="20"/>
          <w:szCs w:val="20"/>
        </w:rPr>
        <w:t xml:space="preserve"> et al. Mifepristone with buccal Misoprostol for medical abortion: A Systematic Review. Obstetrics and Gynecology 2015;126(1):12</w:t>
      </w:r>
      <w:r w:rsidR="00D94C7D" w:rsidRPr="00AA72E7">
        <w:rPr>
          <w:rFonts w:cstheme="minorHAnsi"/>
          <w:sz w:val="20"/>
          <w:szCs w:val="20"/>
        </w:rPr>
        <w:t>‒</w:t>
      </w:r>
      <w:r w:rsidR="00C92CDB" w:rsidRPr="00AA72E7">
        <w:rPr>
          <w:sz w:val="20"/>
          <w:szCs w:val="20"/>
        </w:rPr>
        <w:t>21.</w:t>
      </w:r>
      <w:r w:rsidRPr="00AA72E7">
        <w:rPr>
          <w:sz w:val="20"/>
          <w:szCs w:val="20"/>
        </w:rPr>
        <w:t xml:space="preserve"> DOI: </w:t>
      </w:r>
      <w:hyperlink r:id="rId17" w:history="1">
        <w:r w:rsidRPr="00AA72E7">
          <w:rPr>
            <w:rStyle w:val="Hyperlink"/>
            <w:sz w:val="20"/>
            <w:szCs w:val="20"/>
          </w:rPr>
          <w:t>10.1097/AOG.0000000000000897</w:t>
        </w:r>
      </w:hyperlink>
      <w:r w:rsidR="006F204E">
        <w:rPr>
          <w:rStyle w:val="Hyperlink"/>
          <w:sz w:val="20"/>
          <w:szCs w:val="20"/>
        </w:rPr>
        <w:t>.</w:t>
      </w:r>
    </w:p>
    <w:p w14:paraId="698772CD" w14:textId="79DC988D" w:rsidR="006A53BD" w:rsidRPr="00AA72E7" w:rsidRDefault="35D322AB" w:rsidP="0001535A">
      <w:pPr>
        <w:rPr>
          <w:sz w:val="20"/>
          <w:szCs w:val="20"/>
        </w:rPr>
      </w:pPr>
      <w:r w:rsidRPr="35D322AB">
        <w:rPr>
          <w:sz w:val="20"/>
          <w:szCs w:val="20"/>
        </w:rPr>
        <w:t xml:space="preserve">4. </w:t>
      </w:r>
      <w:r w:rsidR="0001535A">
        <w:rPr>
          <w:sz w:val="20"/>
          <w:szCs w:val="20"/>
        </w:rPr>
        <w:t xml:space="preserve"> </w:t>
      </w:r>
      <w:r w:rsidR="0001535A" w:rsidRPr="0001535A">
        <w:rPr>
          <w:sz w:val="20"/>
          <w:szCs w:val="20"/>
        </w:rPr>
        <w:t>A patient may choose to administer misoprostol vaginally  to potentially shorten the time to bleeding, cramping</w:t>
      </w:r>
      <w:r w:rsidR="0001535A">
        <w:rPr>
          <w:sz w:val="20"/>
          <w:szCs w:val="20"/>
        </w:rPr>
        <w:t xml:space="preserve">, and abortion completion. See: </w:t>
      </w:r>
      <w:r w:rsidR="0001535A" w:rsidRPr="0001535A">
        <w:rPr>
          <w:sz w:val="20"/>
          <w:szCs w:val="20"/>
        </w:rPr>
        <w:t xml:space="preserve">Young D, Fitzgerald K, Laursen L, Whitaker AK. Comparison of vaginal and buccal misoprostol after mifepristone for medication abortion through 70 days of gestation: A retrospective chart review. Contraception. 2022 Nov;115:62-66. </w:t>
      </w:r>
      <w:r w:rsidR="008C7CF9">
        <w:rPr>
          <w:sz w:val="20"/>
          <w:szCs w:val="20"/>
        </w:rPr>
        <w:t>DOI</w:t>
      </w:r>
      <w:r w:rsidR="0001535A" w:rsidRPr="0001535A">
        <w:rPr>
          <w:sz w:val="20"/>
          <w:szCs w:val="20"/>
        </w:rPr>
        <w:t xml:space="preserve">: </w:t>
      </w:r>
      <w:hyperlink r:id="rId18" w:history="1">
        <w:r w:rsidR="0001535A" w:rsidRPr="008C7CF9">
          <w:rPr>
            <w:rStyle w:val="Hyperlink"/>
            <w:sz w:val="20"/>
            <w:szCs w:val="20"/>
          </w:rPr>
          <w:t>10.1016/j.contraception.2022.06.012</w:t>
        </w:r>
      </w:hyperlink>
      <w:r w:rsidR="0001535A" w:rsidRPr="0001535A">
        <w:rPr>
          <w:sz w:val="20"/>
          <w:szCs w:val="20"/>
        </w:rPr>
        <w:t>. Epub 2022 Jun 28. PMID: 35772525.</w:t>
      </w:r>
      <w:r w:rsidR="008E30EF">
        <w:rPr>
          <w:sz w:val="20"/>
          <w:szCs w:val="20"/>
        </w:rPr>
        <w:t xml:space="preserve"> </w:t>
      </w:r>
      <w:r w:rsidR="008E30EF" w:rsidRPr="008E30EF">
        <w:rPr>
          <w:sz w:val="20"/>
          <w:szCs w:val="20"/>
        </w:rPr>
        <w:t>Depending on the patient’s circumstances you may wish to remind them that fragments of the misoprostol tablets could remain visible in the vagina for some time after insertion. This may be of particular importance for patients presenting in states where abortion is banned.</w:t>
      </w:r>
    </w:p>
    <w:p w14:paraId="674244BD" w14:textId="52A7BD05" w:rsidR="006A53BD" w:rsidRPr="00AA72E7" w:rsidRDefault="35D322AB" w:rsidP="00691F9A">
      <w:pPr>
        <w:rPr>
          <w:sz w:val="20"/>
          <w:szCs w:val="20"/>
        </w:rPr>
      </w:pPr>
      <w:r w:rsidRPr="35D322AB">
        <w:rPr>
          <w:sz w:val="20"/>
          <w:szCs w:val="20"/>
        </w:rPr>
        <w:t>5. Dzuba IG, et al. A repeat dose of misoprostol 800 mcg following mifepristone for ou</w:t>
      </w:r>
      <w:r w:rsidR="00F10BB8">
        <w:rPr>
          <w:sz w:val="20"/>
          <w:szCs w:val="20"/>
        </w:rPr>
        <w:t>tpatient medical abortion at 64</w:t>
      </w:r>
      <w:r w:rsidR="00F10BB8">
        <w:rPr>
          <w:rFonts w:cstheme="minorHAnsi"/>
          <w:sz w:val="20"/>
          <w:szCs w:val="20"/>
        </w:rPr>
        <w:t>‒</w:t>
      </w:r>
      <w:r w:rsidR="00F10BB8">
        <w:rPr>
          <w:sz w:val="20"/>
          <w:szCs w:val="20"/>
        </w:rPr>
        <w:t>70 and 71</w:t>
      </w:r>
      <w:r w:rsidR="00F10BB8">
        <w:rPr>
          <w:rFonts w:cstheme="minorHAnsi"/>
          <w:sz w:val="20"/>
          <w:szCs w:val="20"/>
        </w:rPr>
        <w:t>‒</w:t>
      </w:r>
      <w:r w:rsidRPr="35D322AB">
        <w:rPr>
          <w:sz w:val="20"/>
          <w:szCs w:val="20"/>
        </w:rPr>
        <w:t>77 days of gestation: A retrospective chart review. Con</w:t>
      </w:r>
      <w:r w:rsidR="00F10BB8">
        <w:rPr>
          <w:sz w:val="20"/>
          <w:szCs w:val="20"/>
        </w:rPr>
        <w:t>traception. 2020 Aug;102(2):104</w:t>
      </w:r>
      <w:r w:rsidR="00F10BB8">
        <w:rPr>
          <w:rFonts w:cstheme="minorHAnsi"/>
          <w:sz w:val="20"/>
          <w:szCs w:val="20"/>
        </w:rPr>
        <w:t>‒</w:t>
      </w:r>
      <w:r w:rsidRPr="35D322AB">
        <w:rPr>
          <w:sz w:val="20"/>
          <w:szCs w:val="20"/>
        </w:rPr>
        <w:t xml:space="preserve">108. doi: </w:t>
      </w:r>
      <w:hyperlink r:id="rId19">
        <w:r w:rsidRPr="35D322AB">
          <w:rPr>
            <w:rStyle w:val="Hyperlink"/>
            <w:sz w:val="20"/>
            <w:szCs w:val="20"/>
          </w:rPr>
          <w:t>10.1016/j.contraception.2020.05.012</w:t>
        </w:r>
      </w:hyperlink>
      <w:r w:rsidR="00F10BB8">
        <w:rPr>
          <w:rStyle w:val="Hyperlink"/>
          <w:sz w:val="20"/>
          <w:szCs w:val="20"/>
        </w:rPr>
        <w:t xml:space="preserve">; </w:t>
      </w:r>
      <w:r w:rsidR="00F10BB8" w:rsidRPr="00F10BB8">
        <w:rPr>
          <w:sz w:val="20"/>
          <w:szCs w:val="20"/>
        </w:rPr>
        <w:t xml:space="preserve"> </w:t>
      </w:r>
      <w:r w:rsidR="00F10BB8">
        <w:rPr>
          <w:sz w:val="20"/>
          <w:szCs w:val="20"/>
        </w:rPr>
        <w:t xml:space="preserve">Also see: </w:t>
      </w:r>
      <w:r w:rsidR="00F10BB8" w:rsidRPr="00797261">
        <w:rPr>
          <w:sz w:val="20"/>
          <w:szCs w:val="20"/>
        </w:rPr>
        <w:t>National Abortion Federation. Clinical Policy Guidelines</w:t>
      </w:r>
      <w:r w:rsidR="00F10BB8">
        <w:rPr>
          <w:sz w:val="20"/>
          <w:szCs w:val="20"/>
        </w:rPr>
        <w:t>, Section 6</w:t>
      </w:r>
      <w:r w:rsidR="00F10BB8" w:rsidRPr="00797261">
        <w:rPr>
          <w:sz w:val="20"/>
          <w:szCs w:val="20"/>
        </w:rPr>
        <w:t xml:space="preserve">. Washington DC: National Abortion Federation; </w:t>
      </w:r>
      <w:r w:rsidR="00F10BB8" w:rsidRPr="00882BFC">
        <w:rPr>
          <w:sz w:val="20"/>
          <w:szCs w:val="20"/>
        </w:rPr>
        <w:t>202</w:t>
      </w:r>
      <w:r w:rsidR="00882BFC" w:rsidRPr="000064DF">
        <w:rPr>
          <w:sz w:val="20"/>
          <w:szCs w:val="20"/>
        </w:rPr>
        <w:t>2</w:t>
      </w:r>
      <w:r w:rsidR="00F10BB8" w:rsidRPr="00882BFC">
        <w:rPr>
          <w:sz w:val="20"/>
          <w:szCs w:val="20"/>
        </w:rPr>
        <w:t>.</w:t>
      </w:r>
      <w:r w:rsidR="00F10BB8">
        <w:rPr>
          <w:sz w:val="20"/>
          <w:szCs w:val="20"/>
        </w:rPr>
        <w:t xml:space="preserve"> </w:t>
      </w:r>
      <w:hyperlink r:id="rId20" w:history="1">
        <w:r w:rsidR="00882BFC" w:rsidRPr="00EB3CF5">
          <w:rPr>
            <w:rStyle w:val="Hyperlink"/>
            <w:sz w:val="20"/>
            <w:szCs w:val="20"/>
          </w:rPr>
          <w:t>https://prochoice.org/providers/quality-standards/</w:t>
        </w:r>
      </w:hyperlink>
      <w:r w:rsidR="00882BFC">
        <w:rPr>
          <w:sz w:val="20"/>
          <w:szCs w:val="20"/>
        </w:rPr>
        <w:t xml:space="preserve"> </w:t>
      </w:r>
      <w:r w:rsidR="0001535A">
        <w:rPr>
          <w:sz w:val="20"/>
          <w:szCs w:val="20"/>
        </w:rPr>
        <w:t xml:space="preserve">. </w:t>
      </w:r>
      <w:r w:rsidR="0001535A">
        <w:t xml:space="preserve">A second dose </w:t>
      </w:r>
      <w:r w:rsidR="0001535A">
        <w:lastRenderedPageBreak/>
        <w:t>of misoprostol may also be appropriate for patients who, should a second dose be medically indicated, wish to avoid coming back to the office or going to the pharmacy due to extensive travel, COVID-19 concerns, or other circumstances.</w:t>
      </w:r>
    </w:p>
    <w:p w14:paraId="24E334D8" w14:textId="68FCD9EC" w:rsidR="006A53BD" w:rsidRPr="00AA72E7" w:rsidRDefault="006A53BD" w:rsidP="00665F72">
      <w:pPr>
        <w:rPr>
          <w:sz w:val="20"/>
          <w:szCs w:val="20"/>
        </w:rPr>
      </w:pPr>
      <w:r w:rsidRPr="00AA72E7">
        <w:rPr>
          <w:sz w:val="20"/>
          <w:szCs w:val="20"/>
        </w:rPr>
        <w:t>6. Constant D</w:t>
      </w:r>
      <w:r w:rsidR="00AA72E7" w:rsidRPr="00AA72E7">
        <w:rPr>
          <w:sz w:val="20"/>
          <w:szCs w:val="20"/>
        </w:rPr>
        <w:t>,</w:t>
      </w:r>
      <w:r w:rsidRPr="00AA72E7">
        <w:rPr>
          <w:sz w:val="20"/>
          <w:szCs w:val="20"/>
        </w:rPr>
        <w:t xml:space="preserve"> et al. Accuracy of gestational age estimation from last menstrual period among women seeking abortion in South Africa, with a view to task sharing: a mixed methods study. Reproductive Health 2017; 14(1):100. DOI: </w:t>
      </w:r>
      <w:hyperlink r:id="rId21" w:history="1">
        <w:r w:rsidRPr="00AA72E7">
          <w:rPr>
            <w:rStyle w:val="Hyperlink"/>
            <w:sz w:val="20"/>
            <w:szCs w:val="20"/>
          </w:rPr>
          <w:t>10.1186/s12978-017-0365-7</w:t>
        </w:r>
      </w:hyperlink>
    </w:p>
    <w:p w14:paraId="0D36DCA8" w14:textId="6B83DE33" w:rsidR="006A53BD" w:rsidRPr="00AA72E7" w:rsidRDefault="006A53BD" w:rsidP="006A53BD">
      <w:pPr>
        <w:rPr>
          <w:sz w:val="20"/>
          <w:szCs w:val="20"/>
        </w:rPr>
      </w:pPr>
      <w:r w:rsidRPr="00AA72E7">
        <w:rPr>
          <w:sz w:val="20"/>
          <w:szCs w:val="20"/>
        </w:rPr>
        <w:t>7. Schonberg D</w:t>
      </w:r>
      <w:r w:rsidR="00AA72E7" w:rsidRPr="00AA72E7">
        <w:rPr>
          <w:sz w:val="20"/>
          <w:szCs w:val="20"/>
        </w:rPr>
        <w:t>,</w:t>
      </w:r>
      <w:r w:rsidR="005B75D7" w:rsidRPr="00AA72E7">
        <w:rPr>
          <w:sz w:val="20"/>
          <w:szCs w:val="20"/>
        </w:rPr>
        <w:t xml:space="preserve"> et al. The a</w:t>
      </w:r>
      <w:r w:rsidR="00D11FD5" w:rsidRPr="00AA72E7">
        <w:rPr>
          <w:sz w:val="20"/>
          <w:szCs w:val="20"/>
        </w:rPr>
        <w:t xml:space="preserve">ccuracy of using last menstrual </w:t>
      </w:r>
      <w:r w:rsidR="005B75D7" w:rsidRPr="00AA72E7">
        <w:rPr>
          <w:sz w:val="20"/>
          <w:szCs w:val="20"/>
        </w:rPr>
        <w:t>period to determine gestational age for first trimester medication abortion: a systematic review. Contraception 2014;90(5):480</w:t>
      </w:r>
      <w:r w:rsidR="00D94C7D" w:rsidRPr="00665F72">
        <w:rPr>
          <w:rFonts w:cstheme="minorHAnsi"/>
          <w:sz w:val="20"/>
          <w:szCs w:val="20"/>
        </w:rPr>
        <w:t>‒</w:t>
      </w:r>
      <w:r w:rsidR="005B75D7" w:rsidRPr="00AA72E7">
        <w:rPr>
          <w:sz w:val="20"/>
          <w:szCs w:val="20"/>
        </w:rPr>
        <w:t>7.</w:t>
      </w:r>
      <w:r w:rsidRPr="00AA72E7">
        <w:rPr>
          <w:sz w:val="20"/>
          <w:szCs w:val="20"/>
        </w:rPr>
        <w:t xml:space="preserve"> DOI: </w:t>
      </w:r>
      <w:hyperlink r:id="rId22" w:history="1">
        <w:r w:rsidRPr="00AA72E7">
          <w:rPr>
            <w:rStyle w:val="Hyperlink"/>
            <w:sz w:val="20"/>
            <w:szCs w:val="20"/>
          </w:rPr>
          <w:t>10.1016/j.contraception.2014.07.004</w:t>
        </w:r>
      </w:hyperlink>
    </w:p>
    <w:p w14:paraId="0D0FC498" w14:textId="364A9D06" w:rsidR="006A53BD" w:rsidRPr="00AA72E7" w:rsidRDefault="006A53BD" w:rsidP="006A53BD">
      <w:pPr>
        <w:rPr>
          <w:sz w:val="20"/>
          <w:szCs w:val="20"/>
        </w:rPr>
      </w:pPr>
      <w:r w:rsidRPr="00AA72E7">
        <w:rPr>
          <w:sz w:val="20"/>
          <w:szCs w:val="20"/>
        </w:rPr>
        <w:t xml:space="preserve">8. </w:t>
      </w:r>
      <w:r w:rsidR="00A278C0" w:rsidRPr="00AA72E7">
        <w:rPr>
          <w:sz w:val="20"/>
          <w:szCs w:val="20"/>
        </w:rPr>
        <w:t>Raymond EG, et al. Simplified medical abortion screening: a demonstration project. Contraception 2018;97(4):292-6.</w:t>
      </w:r>
      <w:r w:rsidRPr="00AA72E7">
        <w:rPr>
          <w:sz w:val="20"/>
          <w:szCs w:val="20"/>
        </w:rPr>
        <w:t xml:space="preserve"> </w:t>
      </w:r>
      <w:r w:rsidR="00507FBF" w:rsidRPr="00AA72E7">
        <w:rPr>
          <w:sz w:val="20"/>
          <w:szCs w:val="20"/>
        </w:rPr>
        <w:t xml:space="preserve">DOI: </w:t>
      </w:r>
      <w:hyperlink r:id="rId23" w:history="1">
        <w:r w:rsidR="00507FBF" w:rsidRPr="00AA72E7">
          <w:rPr>
            <w:rStyle w:val="Hyperlink"/>
            <w:sz w:val="20"/>
            <w:szCs w:val="20"/>
          </w:rPr>
          <w:t>10.1016/j.contraception.2017.11.005</w:t>
        </w:r>
      </w:hyperlink>
    </w:p>
    <w:p w14:paraId="5ADE5D57" w14:textId="671F9452" w:rsidR="00A278C0" w:rsidRPr="00AA72E7" w:rsidRDefault="006A53BD" w:rsidP="006A53BD">
      <w:pPr>
        <w:rPr>
          <w:sz w:val="20"/>
          <w:szCs w:val="20"/>
        </w:rPr>
      </w:pPr>
      <w:r w:rsidRPr="00AA72E7">
        <w:rPr>
          <w:sz w:val="20"/>
          <w:szCs w:val="20"/>
        </w:rPr>
        <w:t xml:space="preserve">9. </w:t>
      </w:r>
      <w:r w:rsidR="00A278C0" w:rsidRPr="00AA72E7">
        <w:rPr>
          <w:sz w:val="20"/>
          <w:szCs w:val="20"/>
        </w:rPr>
        <w:t>Raymond EG, Bracke</w:t>
      </w:r>
      <w:r w:rsidR="006A60BF">
        <w:rPr>
          <w:sz w:val="20"/>
          <w:szCs w:val="20"/>
        </w:rPr>
        <w:t>n</w:t>
      </w:r>
      <w:r w:rsidR="00A278C0" w:rsidRPr="00AA72E7">
        <w:rPr>
          <w:sz w:val="20"/>
          <w:szCs w:val="20"/>
        </w:rPr>
        <w:t xml:space="preserve"> H. Early medical abortion without prior ultrasound. Contraception 2015;92(3):212</w:t>
      </w:r>
      <w:r w:rsidR="00D94C7D" w:rsidRPr="00AA72E7">
        <w:rPr>
          <w:rFonts w:cstheme="minorHAnsi"/>
          <w:sz w:val="20"/>
          <w:szCs w:val="20"/>
        </w:rPr>
        <w:t>‒</w:t>
      </w:r>
      <w:r w:rsidR="00A278C0" w:rsidRPr="00AA72E7">
        <w:rPr>
          <w:sz w:val="20"/>
          <w:szCs w:val="20"/>
        </w:rPr>
        <w:t>4.</w:t>
      </w:r>
      <w:r w:rsidR="00507FBF" w:rsidRPr="00AA72E7">
        <w:rPr>
          <w:sz w:val="20"/>
          <w:szCs w:val="20"/>
        </w:rPr>
        <w:t xml:space="preserve"> DOI: </w:t>
      </w:r>
      <w:hyperlink r:id="rId24" w:history="1">
        <w:r w:rsidR="00507FBF" w:rsidRPr="00AA72E7">
          <w:rPr>
            <w:rStyle w:val="Hyperlink"/>
            <w:sz w:val="20"/>
            <w:szCs w:val="20"/>
          </w:rPr>
          <w:t>10.1016/j.contraception.2015.04.008</w:t>
        </w:r>
      </w:hyperlink>
    </w:p>
    <w:p w14:paraId="3CD54F41" w14:textId="4189F318" w:rsidR="00A278C0" w:rsidRPr="00AA72E7" w:rsidRDefault="00507FBF" w:rsidP="00507FBF">
      <w:pPr>
        <w:rPr>
          <w:sz w:val="20"/>
          <w:szCs w:val="20"/>
        </w:rPr>
      </w:pPr>
      <w:r w:rsidRPr="00AA72E7">
        <w:rPr>
          <w:sz w:val="20"/>
          <w:szCs w:val="20"/>
        </w:rPr>
        <w:t xml:space="preserve">10. </w:t>
      </w:r>
      <w:r w:rsidR="00A278C0" w:rsidRPr="00AA72E7">
        <w:rPr>
          <w:sz w:val="20"/>
          <w:szCs w:val="20"/>
        </w:rPr>
        <w:t>Kaneshiro B, et al. Expanding medical abortion: can medical abortion be effectively provided without the routine use of ultrasound? Contraception 2011;83(3)194</w:t>
      </w:r>
      <w:r w:rsidR="00D94C7D" w:rsidRPr="00AA72E7">
        <w:rPr>
          <w:rFonts w:cstheme="minorHAnsi"/>
          <w:sz w:val="20"/>
          <w:szCs w:val="20"/>
        </w:rPr>
        <w:t>‒</w:t>
      </w:r>
      <w:r w:rsidR="00A278C0" w:rsidRPr="00AA72E7">
        <w:rPr>
          <w:sz w:val="20"/>
          <w:szCs w:val="20"/>
        </w:rPr>
        <w:t>201.</w:t>
      </w:r>
      <w:r w:rsidRPr="00AA72E7">
        <w:rPr>
          <w:sz w:val="20"/>
          <w:szCs w:val="20"/>
        </w:rPr>
        <w:t xml:space="preserve"> DOI: </w:t>
      </w:r>
      <w:hyperlink r:id="rId25" w:history="1">
        <w:r w:rsidRPr="00AA72E7">
          <w:rPr>
            <w:rStyle w:val="Hyperlink"/>
            <w:sz w:val="20"/>
            <w:szCs w:val="20"/>
          </w:rPr>
          <w:t>10.1016/j.contraception.2010.07.023</w:t>
        </w:r>
      </w:hyperlink>
    </w:p>
    <w:p w14:paraId="78021586" w14:textId="1383EB3F" w:rsidR="00507FBF" w:rsidRDefault="00507FBF" w:rsidP="00507FBF">
      <w:pPr>
        <w:rPr>
          <w:sz w:val="20"/>
          <w:szCs w:val="20"/>
        </w:rPr>
      </w:pPr>
      <w:r w:rsidRPr="00AA72E7">
        <w:rPr>
          <w:sz w:val="20"/>
          <w:szCs w:val="20"/>
        </w:rPr>
        <w:t xml:space="preserve">11. Also note that many U.S. states require ultrasound as part of abortion provision. See:  </w:t>
      </w:r>
      <w:hyperlink r:id="rId26" w:history="1">
        <w:r w:rsidRPr="00AA72E7">
          <w:rPr>
            <w:rStyle w:val="Hyperlink"/>
            <w:sz w:val="20"/>
            <w:szCs w:val="20"/>
          </w:rPr>
          <w:t>https://www.kff.org/womens-health-policy/state-indicator/ultrasound-requirements/</w:t>
        </w:r>
      </w:hyperlink>
      <w:r w:rsidRPr="00AA72E7">
        <w:rPr>
          <w:sz w:val="20"/>
          <w:szCs w:val="20"/>
        </w:rPr>
        <w:t xml:space="preserve"> for more information. </w:t>
      </w:r>
    </w:p>
    <w:p w14:paraId="171ABAD6" w14:textId="663614A2" w:rsidR="00AA72E7" w:rsidRPr="00E62DDC" w:rsidRDefault="00AA72E7">
      <w:pPr>
        <w:rPr>
          <w:sz w:val="20"/>
          <w:szCs w:val="20"/>
        </w:rPr>
      </w:pPr>
      <w:r w:rsidRPr="00AA72E7">
        <w:rPr>
          <w:sz w:val="20"/>
          <w:szCs w:val="20"/>
        </w:rPr>
        <w:t xml:space="preserve">12. </w:t>
      </w:r>
      <w:r w:rsidR="0030036B" w:rsidRPr="00E62DDC">
        <w:rPr>
          <w:sz w:val="20"/>
          <w:szCs w:val="20"/>
        </w:rPr>
        <w:t xml:space="preserve">For more detailed guidance, see section 4 in: National Abortion Federation, </w:t>
      </w:r>
      <w:hyperlink r:id="rId27" w:history="1">
        <w:r w:rsidR="0030036B" w:rsidRPr="00E62DDC">
          <w:rPr>
            <w:rStyle w:val="Hyperlink"/>
            <w:sz w:val="20"/>
            <w:szCs w:val="20"/>
          </w:rPr>
          <w:t>2022 Clinical Policy Guidelines for Abortion Care (CPGs)</w:t>
        </w:r>
      </w:hyperlink>
      <w:r w:rsidR="0030036B" w:rsidRPr="00E62DDC">
        <w:rPr>
          <w:sz w:val="20"/>
          <w:szCs w:val="20"/>
        </w:rPr>
        <w:t xml:space="preserve"> Washington DC: National Abortion Federation; 2022. </w:t>
      </w:r>
    </w:p>
    <w:p w14:paraId="3F85DDC5" w14:textId="606879CE" w:rsidR="00A278C0" w:rsidRPr="00AA72E7" w:rsidRDefault="00797261" w:rsidP="00AA72E7">
      <w:pPr>
        <w:rPr>
          <w:sz w:val="20"/>
          <w:szCs w:val="20"/>
        </w:rPr>
      </w:pPr>
      <w:r>
        <w:rPr>
          <w:sz w:val="20"/>
          <w:szCs w:val="20"/>
        </w:rPr>
        <w:t>1</w:t>
      </w:r>
      <w:r w:rsidR="004667E5">
        <w:rPr>
          <w:sz w:val="20"/>
          <w:szCs w:val="20"/>
        </w:rPr>
        <w:t>3</w:t>
      </w:r>
      <w:r w:rsidR="00AA72E7" w:rsidRPr="00AA72E7">
        <w:rPr>
          <w:sz w:val="20"/>
          <w:szCs w:val="20"/>
        </w:rPr>
        <w:t>. Perriera LK,</w:t>
      </w:r>
      <w:r w:rsidR="00A278C0" w:rsidRPr="00AA72E7">
        <w:rPr>
          <w:sz w:val="20"/>
          <w:szCs w:val="20"/>
        </w:rPr>
        <w:t xml:space="preserve"> et al. Feasibility of telephone follow-up after medical abortion. Contraception 2010;81:143–9.</w:t>
      </w:r>
      <w:r w:rsidR="00AA72E7" w:rsidRPr="00AA72E7">
        <w:rPr>
          <w:sz w:val="20"/>
          <w:szCs w:val="20"/>
        </w:rPr>
        <w:t xml:space="preserve"> DOI: </w:t>
      </w:r>
      <w:hyperlink r:id="rId28" w:history="1">
        <w:r w:rsidR="00AA72E7" w:rsidRPr="00AA72E7">
          <w:rPr>
            <w:rStyle w:val="Hyperlink"/>
            <w:sz w:val="20"/>
            <w:szCs w:val="20"/>
          </w:rPr>
          <w:t>10.1016/j.contraception.2009.08.008</w:t>
        </w:r>
      </w:hyperlink>
    </w:p>
    <w:p w14:paraId="01478DBA" w14:textId="2315CD86" w:rsidR="00252048" w:rsidRPr="00665F72" w:rsidRDefault="00797261" w:rsidP="00665F72">
      <w:pPr>
        <w:rPr>
          <w:sz w:val="20"/>
          <w:szCs w:val="20"/>
        </w:rPr>
      </w:pPr>
      <w:r>
        <w:rPr>
          <w:sz w:val="20"/>
          <w:szCs w:val="20"/>
        </w:rPr>
        <w:t>1</w:t>
      </w:r>
      <w:r w:rsidR="004667E5">
        <w:rPr>
          <w:sz w:val="20"/>
          <w:szCs w:val="20"/>
        </w:rPr>
        <w:t>4</w:t>
      </w:r>
      <w:r w:rsidR="00AA72E7">
        <w:rPr>
          <w:sz w:val="20"/>
          <w:szCs w:val="20"/>
        </w:rPr>
        <w:t xml:space="preserve">. </w:t>
      </w:r>
      <w:r w:rsidR="000F2917" w:rsidRPr="000F2917">
        <w:rPr>
          <w:sz w:val="20"/>
          <w:szCs w:val="20"/>
        </w:rPr>
        <w:t>If patient desires a contraception discussion, also consider offering advance provision of 'emergency' contraception including oral levonorgestrel progestin, ulipristal acetate, or C</w:t>
      </w:r>
      <w:r w:rsidR="000F2917">
        <w:rPr>
          <w:sz w:val="20"/>
          <w:szCs w:val="20"/>
        </w:rPr>
        <w:t xml:space="preserve">HCs. For more information, see: </w:t>
      </w:r>
      <w:r w:rsidR="000F2917" w:rsidRPr="000F2917">
        <w:rPr>
          <w:sz w:val="20"/>
          <w:szCs w:val="20"/>
        </w:rPr>
        <w:t>Emergency Contraception, Kaiser Family Foundation</w:t>
      </w:r>
      <w:r w:rsidR="000F2917">
        <w:rPr>
          <w:sz w:val="20"/>
          <w:szCs w:val="20"/>
        </w:rPr>
        <w:t xml:space="preserve">; </w:t>
      </w:r>
      <w:r w:rsidR="000F2917" w:rsidRPr="000F2917">
        <w:rPr>
          <w:sz w:val="20"/>
          <w:szCs w:val="20"/>
        </w:rPr>
        <w:t xml:space="preserve">Rodriguez, Maria I. et al. Advance supply of emergency contraception: a systematic review. Contraception, Volume 87, Issue 5, 590 - 601. DOI: </w:t>
      </w:r>
      <w:hyperlink r:id="rId29" w:history="1">
        <w:r w:rsidR="000F2917" w:rsidRPr="009E3449">
          <w:rPr>
            <w:rStyle w:val="Hyperlink"/>
            <w:sz w:val="20"/>
            <w:szCs w:val="20"/>
          </w:rPr>
          <w:t>https://doi.org/10.1016/j.contraception.2012.09.011</w:t>
        </w:r>
      </w:hyperlink>
      <w:r w:rsidR="000F2917">
        <w:rPr>
          <w:sz w:val="20"/>
          <w:szCs w:val="20"/>
        </w:rPr>
        <w:t xml:space="preserve">; </w:t>
      </w:r>
      <w:r w:rsidR="000F2917" w:rsidRPr="000F2917">
        <w:rPr>
          <w:sz w:val="20"/>
          <w:szCs w:val="20"/>
        </w:rPr>
        <w:t xml:space="preserve">Polis CB et al. Advance provision of emergency contraception for pregnancy prevention (full review). Cochrane Database Syst Rev. 2007 Apr 18;(2):CD005497. doi: </w:t>
      </w:r>
      <w:hyperlink r:id="rId30" w:history="1">
        <w:r w:rsidR="000F2917" w:rsidRPr="000F2917">
          <w:rPr>
            <w:rStyle w:val="Hyperlink"/>
            <w:sz w:val="20"/>
            <w:szCs w:val="20"/>
          </w:rPr>
          <w:t>10.1002/14651858.CD005497.pub2</w:t>
        </w:r>
      </w:hyperlink>
      <w:r w:rsidR="000F2917" w:rsidRPr="000F2917">
        <w:rPr>
          <w:sz w:val="20"/>
          <w:szCs w:val="20"/>
        </w:rPr>
        <w:t>. PMID: 17443596.</w:t>
      </w:r>
      <w:r w:rsidR="000F2917">
        <w:rPr>
          <w:sz w:val="20"/>
          <w:szCs w:val="20"/>
        </w:rPr>
        <w:t xml:space="preserve"> </w:t>
      </w:r>
      <w:r w:rsidR="000F2917" w:rsidRPr="000F2917">
        <w:rPr>
          <w:sz w:val="20"/>
          <w:szCs w:val="20"/>
        </w:rPr>
        <w:t>Patients may also wish to consider same-day insertion of an implant. See:</w:t>
      </w:r>
      <w:r w:rsidR="000F2917">
        <w:rPr>
          <w:sz w:val="20"/>
          <w:szCs w:val="20"/>
        </w:rPr>
        <w:t xml:space="preserve"> </w:t>
      </w:r>
      <w:r w:rsidR="00A278C0" w:rsidRPr="00AA72E7">
        <w:rPr>
          <w:sz w:val="20"/>
          <w:szCs w:val="20"/>
        </w:rPr>
        <w:t>Hognert H, et al. Immediate versus delayed insertion of an etonogestrel releasing implant at medical abortion-a randomized controlled equivalence trial. Human Reproduction 2016;31(11):2484</w:t>
      </w:r>
      <w:r w:rsidR="00D94C7D" w:rsidRPr="00AA72E7">
        <w:rPr>
          <w:rFonts w:cstheme="minorHAnsi"/>
          <w:sz w:val="20"/>
          <w:szCs w:val="20"/>
        </w:rPr>
        <w:t>‒</w:t>
      </w:r>
      <w:r w:rsidR="00A278C0" w:rsidRPr="00AA72E7">
        <w:rPr>
          <w:sz w:val="20"/>
          <w:szCs w:val="20"/>
        </w:rPr>
        <w:t>2490.</w:t>
      </w:r>
      <w:r w:rsidR="00AA72E7">
        <w:rPr>
          <w:sz w:val="20"/>
          <w:szCs w:val="20"/>
        </w:rPr>
        <w:t xml:space="preserve"> </w:t>
      </w:r>
      <w:r w:rsidR="00AA72E7" w:rsidRPr="00AA72E7">
        <w:rPr>
          <w:sz w:val="20"/>
          <w:szCs w:val="20"/>
        </w:rPr>
        <w:t xml:space="preserve">DOI: </w:t>
      </w:r>
      <w:hyperlink r:id="rId31" w:history="1">
        <w:r w:rsidR="00AA72E7" w:rsidRPr="00AA72E7">
          <w:rPr>
            <w:rStyle w:val="Hyperlink"/>
            <w:sz w:val="20"/>
            <w:szCs w:val="20"/>
          </w:rPr>
          <w:t>10.1093/humrep/dew238</w:t>
        </w:r>
      </w:hyperlink>
    </w:p>
    <w:sectPr w:rsidR="00252048" w:rsidRPr="00665F72" w:rsidSect="00AB015F">
      <w:footerReference w:type="default" r:id="rId32"/>
      <w:pgSz w:w="12240" w:h="15840"/>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7563" w16cex:dateUtc="2023-03-21T22:26:00Z"/>
  <w16cex:commentExtensible w16cex:durableId="27C475EA" w16cex:dateUtc="2023-03-21T22:28:00Z"/>
  <w16cex:commentExtensible w16cex:durableId="27C476BA" w16cex:dateUtc="2023-03-21T22:32:00Z"/>
  <w16cex:commentExtensible w16cex:durableId="27C837C1" w16cex:dateUtc="2023-03-24T18:52:00Z"/>
  <w16cex:commentExtensible w16cex:durableId="27C59E14" w16cex:dateUtc="2023-03-22T19:32:00Z"/>
  <w16cex:commentExtensible w16cex:durableId="27C59E42" w16cex:dateUtc="2023-03-22T19:33:00Z"/>
  <w16cex:commentExtensible w16cex:durableId="27C59E77" w16cex:dateUtc="2023-03-22T19:34:00Z"/>
  <w16cex:commentExtensible w16cex:durableId="27C5A0BC" w16cex:dateUtc="2023-03-22T19:43:00Z"/>
  <w16cex:commentExtensible w16cex:durableId="27C5A1AE" w16cex:dateUtc="2023-03-22T19:47:00Z"/>
  <w16cex:commentExtensible w16cex:durableId="27C5A2FC" w16cex:dateUtc="2023-03-22T19:53:00Z"/>
  <w16cex:commentExtensible w16cex:durableId="27C5A346" w16cex:dateUtc="2023-03-22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55A32" w16cid:durableId="27C47482"/>
  <w16cid:commentId w16cid:paraId="03AA8252" w16cid:durableId="27C47483"/>
  <w16cid:commentId w16cid:paraId="49C2EB74" w16cid:durableId="27C47563"/>
  <w16cid:commentId w16cid:paraId="4F40483F" w16cid:durableId="27C47484"/>
  <w16cid:commentId w16cid:paraId="0C8CF561" w16cid:durableId="27C47485"/>
  <w16cid:commentId w16cid:paraId="0AC5F97E" w16cid:durableId="27C475EA"/>
  <w16cid:commentId w16cid:paraId="6458F83A" w16cid:durableId="27C47486"/>
  <w16cid:commentId w16cid:paraId="3AA7D367" w16cid:durableId="27C47487"/>
  <w16cid:commentId w16cid:paraId="53C63A73" w16cid:durableId="27C476BA"/>
  <w16cid:commentId w16cid:paraId="322509DB" w16cid:durableId="27C47488"/>
  <w16cid:commentId w16cid:paraId="7E2040E2" w16cid:durableId="27C47489"/>
  <w16cid:commentId w16cid:paraId="3D4A7D92" w16cid:durableId="27C4748A"/>
  <w16cid:commentId w16cid:paraId="646904C8" w16cid:durableId="27C4748B"/>
  <w16cid:commentId w16cid:paraId="1C9A3A32" w16cid:durableId="27C4748C"/>
  <w16cid:commentId w16cid:paraId="40E346B0" w16cid:durableId="27C837C1"/>
  <w16cid:commentId w16cid:paraId="692D6282" w16cid:durableId="27C4748D"/>
  <w16cid:commentId w16cid:paraId="6D9686F2" w16cid:durableId="27C4748E"/>
  <w16cid:commentId w16cid:paraId="5469A677" w16cid:durableId="27C4748F"/>
  <w16cid:commentId w16cid:paraId="73A2EC77" w16cid:durableId="27C47490"/>
  <w16cid:commentId w16cid:paraId="6F0EF9AE" w16cid:durableId="27C47491"/>
  <w16cid:commentId w16cid:paraId="012AE78E" w16cid:durableId="27C47492"/>
  <w16cid:commentId w16cid:paraId="13276646" w16cid:durableId="27C47493"/>
  <w16cid:commentId w16cid:paraId="7D1CF5E4" w16cid:durableId="27C47494"/>
  <w16cid:commentId w16cid:paraId="12692998" w16cid:durableId="27C59E14"/>
  <w16cid:commentId w16cid:paraId="7EEB8EE9" w16cid:durableId="27C59E42"/>
  <w16cid:commentId w16cid:paraId="558C571A" w16cid:durableId="27C59E77"/>
  <w16cid:commentId w16cid:paraId="4EF972B0" w16cid:durableId="27C47495"/>
  <w16cid:commentId w16cid:paraId="6126BFF8" w16cid:durableId="27C47496"/>
  <w16cid:commentId w16cid:paraId="5D7F0AF3" w16cid:durableId="27C47497"/>
  <w16cid:commentId w16cid:paraId="4737C1EA" w16cid:durableId="27C47498"/>
  <w16cid:commentId w16cid:paraId="30FD4F5E" w16cid:durableId="27C5A0BC"/>
  <w16cid:commentId w16cid:paraId="56B610D0" w16cid:durableId="27C47499"/>
  <w16cid:commentId w16cid:paraId="4C3C007D" w16cid:durableId="27C4749A"/>
  <w16cid:commentId w16cid:paraId="2D3242FB" w16cid:durableId="27C4749B"/>
  <w16cid:commentId w16cid:paraId="759EEA46" w16cid:durableId="27C5A1AE"/>
  <w16cid:commentId w16cid:paraId="060DE440" w16cid:durableId="27C5A2FC"/>
  <w16cid:commentId w16cid:paraId="459FAC0C" w16cid:durableId="27C4749C"/>
  <w16cid:commentId w16cid:paraId="3CE77ABC" w16cid:durableId="27C4749D"/>
  <w16cid:commentId w16cid:paraId="4C6A7DEF" w16cid:durableId="27C4749E"/>
  <w16cid:commentId w16cid:paraId="473034C1" w16cid:durableId="27C4749F"/>
  <w16cid:commentId w16cid:paraId="65BFBFA8" w16cid:durableId="27C5A3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CEA8F" w14:textId="77777777" w:rsidR="00B8428B" w:rsidRDefault="00B8428B" w:rsidP="008B3AF7">
      <w:pPr>
        <w:spacing w:after="0" w:line="240" w:lineRule="auto"/>
      </w:pPr>
      <w:r>
        <w:separator/>
      </w:r>
    </w:p>
  </w:endnote>
  <w:endnote w:type="continuationSeparator" w:id="0">
    <w:p w14:paraId="3C3BFC80" w14:textId="77777777" w:rsidR="00B8428B" w:rsidRDefault="00B8428B" w:rsidP="008B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panose1 w:val="02000505000000020004"/>
    <w:charset w:val="00"/>
    <w:family w:val="auto"/>
    <w:pitch w:val="variable"/>
    <w:sig w:usb0="8000002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B338" w14:textId="65605929" w:rsidR="008B3AF7" w:rsidRDefault="00B8428B">
    <w:pPr>
      <w:pStyle w:val="Footer"/>
    </w:pPr>
    <w:hyperlink r:id="rId1" w:history="1">
      <w:r w:rsidR="008B3AF7">
        <w:rPr>
          <w:rStyle w:val="Hyperlink"/>
        </w:rPr>
        <w:t>RHEDI</w:t>
      </w:r>
      <w:r w:rsidR="008B3AF7" w:rsidRPr="00C70BA9">
        <w:rPr>
          <w:rStyle w:val="Hyperlink"/>
        </w:rPr>
        <w:t>.org</w:t>
      </w:r>
    </w:hyperlink>
    <w:r w:rsidR="00AB015F">
      <w:t xml:space="preserve">  </w:t>
    </w:r>
    <w:r w:rsidR="007C4BC5">
      <w:t>4</w:t>
    </w:r>
    <w:r w:rsidR="00080773">
      <w:t>/202</w:t>
    </w:r>
    <w:r w:rsidR="007C4BC5">
      <w:t>3</w:t>
    </w:r>
    <w:r w:rsidR="008B3AF7">
      <w:tab/>
    </w:r>
    <w:r w:rsidR="008B3AF7">
      <w:tab/>
    </w:r>
    <w:r w:rsidR="003B3E3B" w:rsidRPr="00573F27">
      <w:rPr>
        <w:noProof/>
      </w:rPr>
      <w:drawing>
        <wp:anchor distT="0" distB="0" distL="114300" distR="114300" simplePos="0" relativeHeight="251659264" behindDoc="0" locked="0" layoutInCell="1" allowOverlap="1" wp14:anchorId="25868B02" wp14:editId="358F8A5E">
          <wp:simplePos x="0" y="0"/>
          <wp:positionH relativeFrom="margin">
            <wp:posOffset>5715000</wp:posOffset>
          </wp:positionH>
          <wp:positionV relativeFrom="margin">
            <wp:posOffset>8686800</wp:posOffset>
          </wp:positionV>
          <wp:extent cx="840105" cy="387985"/>
          <wp:effectExtent l="0" t="0" r="0" b="0"/>
          <wp:wrapSquare wrapText="bothSides"/>
          <wp:docPr id="2" name="Picture 2" descr="Description: blue rhedi 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ue rhedi no t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3879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336FB" w14:textId="77777777" w:rsidR="00B8428B" w:rsidRDefault="00B8428B" w:rsidP="008B3AF7">
      <w:pPr>
        <w:spacing w:after="0" w:line="240" w:lineRule="auto"/>
      </w:pPr>
      <w:r>
        <w:separator/>
      </w:r>
    </w:p>
  </w:footnote>
  <w:footnote w:type="continuationSeparator" w:id="0">
    <w:p w14:paraId="7AFD8988" w14:textId="77777777" w:rsidR="00B8428B" w:rsidRDefault="00B8428B" w:rsidP="008B3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B47"/>
    <w:multiLevelType w:val="hybridMultilevel"/>
    <w:tmpl w:val="4078B048"/>
    <w:lvl w:ilvl="0" w:tplc="290E51DA">
      <w:start w:val="1"/>
      <w:numFmt w:val="bullet"/>
      <w:lvlText w:val="•"/>
      <w:lvlJc w:val="left"/>
      <w:pPr>
        <w:tabs>
          <w:tab w:val="num" w:pos="720"/>
        </w:tabs>
        <w:ind w:left="720" w:hanging="360"/>
      </w:pPr>
      <w:rPr>
        <w:rFonts w:ascii="Arial" w:hAnsi="Arial" w:hint="default"/>
      </w:rPr>
    </w:lvl>
    <w:lvl w:ilvl="1" w:tplc="7B2483B2" w:tentative="1">
      <w:start w:val="1"/>
      <w:numFmt w:val="bullet"/>
      <w:lvlText w:val="•"/>
      <w:lvlJc w:val="left"/>
      <w:pPr>
        <w:tabs>
          <w:tab w:val="num" w:pos="1440"/>
        </w:tabs>
        <w:ind w:left="1440" w:hanging="360"/>
      </w:pPr>
      <w:rPr>
        <w:rFonts w:ascii="Arial" w:hAnsi="Arial" w:hint="default"/>
      </w:rPr>
    </w:lvl>
    <w:lvl w:ilvl="2" w:tplc="EB5CE710" w:tentative="1">
      <w:start w:val="1"/>
      <w:numFmt w:val="bullet"/>
      <w:lvlText w:val="•"/>
      <w:lvlJc w:val="left"/>
      <w:pPr>
        <w:tabs>
          <w:tab w:val="num" w:pos="2160"/>
        </w:tabs>
        <w:ind w:left="2160" w:hanging="360"/>
      </w:pPr>
      <w:rPr>
        <w:rFonts w:ascii="Arial" w:hAnsi="Arial" w:hint="default"/>
      </w:rPr>
    </w:lvl>
    <w:lvl w:ilvl="3" w:tplc="08E6CCCE" w:tentative="1">
      <w:start w:val="1"/>
      <w:numFmt w:val="bullet"/>
      <w:lvlText w:val="•"/>
      <w:lvlJc w:val="left"/>
      <w:pPr>
        <w:tabs>
          <w:tab w:val="num" w:pos="2880"/>
        </w:tabs>
        <w:ind w:left="2880" w:hanging="360"/>
      </w:pPr>
      <w:rPr>
        <w:rFonts w:ascii="Arial" w:hAnsi="Arial" w:hint="default"/>
      </w:rPr>
    </w:lvl>
    <w:lvl w:ilvl="4" w:tplc="7E9A74E8" w:tentative="1">
      <w:start w:val="1"/>
      <w:numFmt w:val="bullet"/>
      <w:lvlText w:val="•"/>
      <w:lvlJc w:val="left"/>
      <w:pPr>
        <w:tabs>
          <w:tab w:val="num" w:pos="3600"/>
        </w:tabs>
        <w:ind w:left="3600" w:hanging="360"/>
      </w:pPr>
      <w:rPr>
        <w:rFonts w:ascii="Arial" w:hAnsi="Arial" w:hint="default"/>
      </w:rPr>
    </w:lvl>
    <w:lvl w:ilvl="5" w:tplc="72BAD546" w:tentative="1">
      <w:start w:val="1"/>
      <w:numFmt w:val="bullet"/>
      <w:lvlText w:val="•"/>
      <w:lvlJc w:val="left"/>
      <w:pPr>
        <w:tabs>
          <w:tab w:val="num" w:pos="4320"/>
        </w:tabs>
        <w:ind w:left="4320" w:hanging="360"/>
      </w:pPr>
      <w:rPr>
        <w:rFonts w:ascii="Arial" w:hAnsi="Arial" w:hint="default"/>
      </w:rPr>
    </w:lvl>
    <w:lvl w:ilvl="6" w:tplc="850CA7EC" w:tentative="1">
      <w:start w:val="1"/>
      <w:numFmt w:val="bullet"/>
      <w:lvlText w:val="•"/>
      <w:lvlJc w:val="left"/>
      <w:pPr>
        <w:tabs>
          <w:tab w:val="num" w:pos="5040"/>
        </w:tabs>
        <w:ind w:left="5040" w:hanging="360"/>
      </w:pPr>
      <w:rPr>
        <w:rFonts w:ascii="Arial" w:hAnsi="Arial" w:hint="default"/>
      </w:rPr>
    </w:lvl>
    <w:lvl w:ilvl="7" w:tplc="A2D0923A" w:tentative="1">
      <w:start w:val="1"/>
      <w:numFmt w:val="bullet"/>
      <w:lvlText w:val="•"/>
      <w:lvlJc w:val="left"/>
      <w:pPr>
        <w:tabs>
          <w:tab w:val="num" w:pos="5760"/>
        </w:tabs>
        <w:ind w:left="5760" w:hanging="360"/>
      </w:pPr>
      <w:rPr>
        <w:rFonts w:ascii="Arial" w:hAnsi="Arial" w:hint="default"/>
      </w:rPr>
    </w:lvl>
    <w:lvl w:ilvl="8" w:tplc="4F6A02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84697B"/>
    <w:multiLevelType w:val="hybridMultilevel"/>
    <w:tmpl w:val="E2B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26BA"/>
    <w:multiLevelType w:val="multilevel"/>
    <w:tmpl w:val="E87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42C0C"/>
    <w:multiLevelType w:val="hybridMultilevel"/>
    <w:tmpl w:val="F16A1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7437F"/>
    <w:multiLevelType w:val="multilevel"/>
    <w:tmpl w:val="4170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F5725"/>
    <w:multiLevelType w:val="hybridMultilevel"/>
    <w:tmpl w:val="F16A1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10A53"/>
    <w:multiLevelType w:val="hybridMultilevel"/>
    <w:tmpl w:val="782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556BF"/>
    <w:multiLevelType w:val="hybridMultilevel"/>
    <w:tmpl w:val="A2F2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42205"/>
    <w:multiLevelType w:val="hybridMultilevel"/>
    <w:tmpl w:val="9080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10479"/>
    <w:multiLevelType w:val="hybridMultilevel"/>
    <w:tmpl w:val="0764E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35F29"/>
    <w:multiLevelType w:val="hybridMultilevel"/>
    <w:tmpl w:val="54EAF6AC"/>
    <w:lvl w:ilvl="0" w:tplc="29C6EC9E">
      <w:start w:val="1"/>
      <w:numFmt w:val="bullet"/>
      <w:lvlText w:val=""/>
      <w:lvlJc w:val="left"/>
      <w:pPr>
        <w:tabs>
          <w:tab w:val="num" w:pos="720"/>
        </w:tabs>
        <w:ind w:left="720" w:hanging="360"/>
      </w:pPr>
      <w:rPr>
        <w:rFonts w:ascii="Wingdings 2" w:hAnsi="Wingdings 2" w:hint="default"/>
      </w:rPr>
    </w:lvl>
    <w:lvl w:ilvl="1" w:tplc="FEEA1958">
      <w:start w:val="1"/>
      <w:numFmt w:val="bullet"/>
      <w:lvlText w:val=""/>
      <w:lvlJc w:val="left"/>
      <w:pPr>
        <w:tabs>
          <w:tab w:val="num" w:pos="1440"/>
        </w:tabs>
        <w:ind w:left="1440" w:hanging="360"/>
      </w:pPr>
      <w:rPr>
        <w:rFonts w:ascii="Wingdings 2" w:hAnsi="Wingdings 2" w:hint="default"/>
      </w:rPr>
    </w:lvl>
    <w:lvl w:ilvl="2" w:tplc="84DE9728" w:tentative="1">
      <w:start w:val="1"/>
      <w:numFmt w:val="bullet"/>
      <w:lvlText w:val=""/>
      <w:lvlJc w:val="left"/>
      <w:pPr>
        <w:tabs>
          <w:tab w:val="num" w:pos="2160"/>
        </w:tabs>
        <w:ind w:left="2160" w:hanging="360"/>
      </w:pPr>
      <w:rPr>
        <w:rFonts w:ascii="Wingdings 2" w:hAnsi="Wingdings 2" w:hint="default"/>
      </w:rPr>
    </w:lvl>
    <w:lvl w:ilvl="3" w:tplc="86FAA436" w:tentative="1">
      <w:start w:val="1"/>
      <w:numFmt w:val="bullet"/>
      <w:lvlText w:val=""/>
      <w:lvlJc w:val="left"/>
      <w:pPr>
        <w:tabs>
          <w:tab w:val="num" w:pos="2880"/>
        </w:tabs>
        <w:ind w:left="2880" w:hanging="360"/>
      </w:pPr>
      <w:rPr>
        <w:rFonts w:ascii="Wingdings 2" w:hAnsi="Wingdings 2" w:hint="default"/>
      </w:rPr>
    </w:lvl>
    <w:lvl w:ilvl="4" w:tplc="145439D6" w:tentative="1">
      <w:start w:val="1"/>
      <w:numFmt w:val="bullet"/>
      <w:lvlText w:val=""/>
      <w:lvlJc w:val="left"/>
      <w:pPr>
        <w:tabs>
          <w:tab w:val="num" w:pos="3600"/>
        </w:tabs>
        <w:ind w:left="3600" w:hanging="360"/>
      </w:pPr>
      <w:rPr>
        <w:rFonts w:ascii="Wingdings 2" w:hAnsi="Wingdings 2" w:hint="default"/>
      </w:rPr>
    </w:lvl>
    <w:lvl w:ilvl="5" w:tplc="1E70285C" w:tentative="1">
      <w:start w:val="1"/>
      <w:numFmt w:val="bullet"/>
      <w:lvlText w:val=""/>
      <w:lvlJc w:val="left"/>
      <w:pPr>
        <w:tabs>
          <w:tab w:val="num" w:pos="4320"/>
        </w:tabs>
        <w:ind w:left="4320" w:hanging="360"/>
      </w:pPr>
      <w:rPr>
        <w:rFonts w:ascii="Wingdings 2" w:hAnsi="Wingdings 2" w:hint="default"/>
      </w:rPr>
    </w:lvl>
    <w:lvl w:ilvl="6" w:tplc="C5E20160" w:tentative="1">
      <w:start w:val="1"/>
      <w:numFmt w:val="bullet"/>
      <w:lvlText w:val=""/>
      <w:lvlJc w:val="left"/>
      <w:pPr>
        <w:tabs>
          <w:tab w:val="num" w:pos="5040"/>
        </w:tabs>
        <w:ind w:left="5040" w:hanging="360"/>
      </w:pPr>
      <w:rPr>
        <w:rFonts w:ascii="Wingdings 2" w:hAnsi="Wingdings 2" w:hint="default"/>
      </w:rPr>
    </w:lvl>
    <w:lvl w:ilvl="7" w:tplc="3A9E2770" w:tentative="1">
      <w:start w:val="1"/>
      <w:numFmt w:val="bullet"/>
      <w:lvlText w:val=""/>
      <w:lvlJc w:val="left"/>
      <w:pPr>
        <w:tabs>
          <w:tab w:val="num" w:pos="5760"/>
        </w:tabs>
        <w:ind w:left="5760" w:hanging="360"/>
      </w:pPr>
      <w:rPr>
        <w:rFonts w:ascii="Wingdings 2" w:hAnsi="Wingdings 2" w:hint="default"/>
      </w:rPr>
    </w:lvl>
    <w:lvl w:ilvl="8" w:tplc="6E6A68E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7A54910"/>
    <w:multiLevelType w:val="hybridMultilevel"/>
    <w:tmpl w:val="799E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32D0A"/>
    <w:multiLevelType w:val="hybridMultilevel"/>
    <w:tmpl w:val="0BE0F204"/>
    <w:lvl w:ilvl="0" w:tplc="29C6EC9E">
      <w:start w:val="1"/>
      <w:numFmt w:val="bullet"/>
      <w:lvlText w:val=""/>
      <w:lvlJc w:val="left"/>
      <w:pPr>
        <w:tabs>
          <w:tab w:val="num" w:pos="720"/>
        </w:tabs>
        <w:ind w:left="720" w:hanging="360"/>
      </w:pPr>
      <w:rPr>
        <w:rFonts w:ascii="Wingdings 2" w:hAnsi="Wingdings 2" w:hint="default"/>
      </w:rPr>
    </w:lvl>
    <w:lvl w:ilvl="1" w:tplc="04090005">
      <w:start w:val="1"/>
      <w:numFmt w:val="bullet"/>
      <w:lvlText w:val=""/>
      <w:lvlJc w:val="left"/>
      <w:pPr>
        <w:tabs>
          <w:tab w:val="num" w:pos="1440"/>
        </w:tabs>
        <w:ind w:left="1440" w:hanging="360"/>
      </w:pPr>
      <w:rPr>
        <w:rFonts w:ascii="Wingdings" w:hAnsi="Wingdings" w:hint="default"/>
      </w:rPr>
    </w:lvl>
    <w:lvl w:ilvl="2" w:tplc="84DE9728" w:tentative="1">
      <w:start w:val="1"/>
      <w:numFmt w:val="bullet"/>
      <w:lvlText w:val=""/>
      <w:lvlJc w:val="left"/>
      <w:pPr>
        <w:tabs>
          <w:tab w:val="num" w:pos="2160"/>
        </w:tabs>
        <w:ind w:left="2160" w:hanging="360"/>
      </w:pPr>
      <w:rPr>
        <w:rFonts w:ascii="Wingdings 2" w:hAnsi="Wingdings 2" w:hint="default"/>
      </w:rPr>
    </w:lvl>
    <w:lvl w:ilvl="3" w:tplc="86FAA436" w:tentative="1">
      <w:start w:val="1"/>
      <w:numFmt w:val="bullet"/>
      <w:lvlText w:val=""/>
      <w:lvlJc w:val="left"/>
      <w:pPr>
        <w:tabs>
          <w:tab w:val="num" w:pos="2880"/>
        </w:tabs>
        <w:ind w:left="2880" w:hanging="360"/>
      </w:pPr>
      <w:rPr>
        <w:rFonts w:ascii="Wingdings 2" w:hAnsi="Wingdings 2" w:hint="default"/>
      </w:rPr>
    </w:lvl>
    <w:lvl w:ilvl="4" w:tplc="145439D6" w:tentative="1">
      <w:start w:val="1"/>
      <w:numFmt w:val="bullet"/>
      <w:lvlText w:val=""/>
      <w:lvlJc w:val="left"/>
      <w:pPr>
        <w:tabs>
          <w:tab w:val="num" w:pos="3600"/>
        </w:tabs>
        <w:ind w:left="3600" w:hanging="360"/>
      </w:pPr>
      <w:rPr>
        <w:rFonts w:ascii="Wingdings 2" w:hAnsi="Wingdings 2" w:hint="default"/>
      </w:rPr>
    </w:lvl>
    <w:lvl w:ilvl="5" w:tplc="1E70285C" w:tentative="1">
      <w:start w:val="1"/>
      <w:numFmt w:val="bullet"/>
      <w:lvlText w:val=""/>
      <w:lvlJc w:val="left"/>
      <w:pPr>
        <w:tabs>
          <w:tab w:val="num" w:pos="4320"/>
        </w:tabs>
        <w:ind w:left="4320" w:hanging="360"/>
      </w:pPr>
      <w:rPr>
        <w:rFonts w:ascii="Wingdings 2" w:hAnsi="Wingdings 2" w:hint="default"/>
      </w:rPr>
    </w:lvl>
    <w:lvl w:ilvl="6" w:tplc="C5E20160" w:tentative="1">
      <w:start w:val="1"/>
      <w:numFmt w:val="bullet"/>
      <w:lvlText w:val=""/>
      <w:lvlJc w:val="left"/>
      <w:pPr>
        <w:tabs>
          <w:tab w:val="num" w:pos="5040"/>
        </w:tabs>
        <w:ind w:left="5040" w:hanging="360"/>
      </w:pPr>
      <w:rPr>
        <w:rFonts w:ascii="Wingdings 2" w:hAnsi="Wingdings 2" w:hint="default"/>
      </w:rPr>
    </w:lvl>
    <w:lvl w:ilvl="7" w:tplc="3A9E2770" w:tentative="1">
      <w:start w:val="1"/>
      <w:numFmt w:val="bullet"/>
      <w:lvlText w:val=""/>
      <w:lvlJc w:val="left"/>
      <w:pPr>
        <w:tabs>
          <w:tab w:val="num" w:pos="5760"/>
        </w:tabs>
        <w:ind w:left="5760" w:hanging="360"/>
      </w:pPr>
      <w:rPr>
        <w:rFonts w:ascii="Wingdings 2" w:hAnsi="Wingdings 2" w:hint="default"/>
      </w:rPr>
    </w:lvl>
    <w:lvl w:ilvl="8" w:tplc="6E6A68E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9"/>
  </w:num>
  <w:num w:numId="4">
    <w:abstractNumId w:val="10"/>
  </w:num>
  <w:num w:numId="5">
    <w:abstractNumId w:val="5"/>
  </w:num>
  <w:num w:numId="6">
    <w:abstractNumId w:val="7"/>
  </w:num>
  <w:num w:numId="7">
    <w:abstractNumId w:val="4"/>
  </w:num>
  <w:num w:numId="8">
    <w:abstractNumId w:val="12"/>
  </w:num>
  <w:num w:numId="9">
    <w:abstractNumId w:val="11"/>
  </w:num>
  <w:num w:numId="10">
    <w:abstractNumId w:val="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17"/>
    <w:rsid w:val="00000210"/>
    <w:rsid w:val="00002163"/>
    <w:rsid w:val="00003A73"/>
    <w:rsid w:val="00003F4F"/>
    <w:rsid w:val="000064DF"/>
    <w:rsid w:val="00007283"/>
    <w:rsid w:val="00007A98"/>
    <w:rsid w:val="00013467"/>
    <w:rsid w:val="0001535A"/>
    <w:rsid w:val="00016614"/>
    <w:rsid w:val="000179E8"/>
    <w:rsid w:val="00020BC1"/>
    <w:rsid w:val="000220E5"/>
    <w:rsid w:val="00030415"/>
    <w:rsid w:val="00035B1A"/>
    <w:rsid w:val="00042C16"/>
    <w:rsid w:val="000433D5"/>
    <w:rsid w:val="00050F09"/>
    <w:rsid w:val="00056B6E"/>
    <w:rsid w:val="000625F9"/>
    <w:rsid w:val="00072117"/>
    <w:rsid w:val="000740A9"/>
    <w:rsid w:val="00080773"/>
    <w:rsid w:val="0008195A"/>
    <w:rsid w:val="0009374A"/>
    <w:rsid w:val="000C22A9"/>
    <w:rsid w:val="000C24EC"/>
    <w:rsid w:val="000C48EA"/>
    <w:rsid w:val="000C6453"/>
    <w:rsid w:val="000C7C43"/>
    <w:rsid w:val="000D001A"/>
    <w:rsid w:val="000D3EB2"/>
    <w:rsid w:val="000E2843"/>
    <w:rsid w:val="000E7013"/>
    <w:rsid w:val="000F2917"/>
    <w:rsid w:val="000F3B7C"/>
    <w:rsid w:val="0010616E"/>
    <w:rsid w:val="0012528A"/>
    <w:rsid w:val="0012540A"/>
    <w:rsid w:val="00130CB1"/>
    <w:rsid w:val="00137BCB"/>
    <w:rsid w:val="00144D05"/>
    <w:rsid w:val="00147C94"/>
    <w:rsid w:val="001502B0"/>
    <w:rsid w:val="00155C83"/>
    <w:rsid w:val="0016113B"/>
    <w:rsid w:val="00164B51"/>
    <w:rsid w:val="00164EFF"/>
    <w:rsid w:val="001729E9"/>
    <w:rsid w:val="001825EC"/>
    <w:rsid w:val="00186832"/>
    <w:rsid w:val="00193EF6"/>
    <w:rsid w:val="001A1962"/>
    <w:rsid w:val="001A6447"/>
    <w:rsid w:val="001B39BA"/>
    <w:rsid w:val="001B428E"/>
    <w:rsid w:val="001C24A9"/>
    <w:rsid w:val="001C626E"/>
    <w:rsid w:val="001C65CD"/>
    <w:rsid w:val="001D1748"/>
    <w:rsid w:val="001D5266"/>
    <w:rsid w:val="001D68E6"/>
    <w:rsid w:val="001D7D9D"/>
    <w:rsid w:val="001E6CE5"/>
    <w:rsid w:val="001F1BAF"/>
    <w:rsid w:val="001F547C"/>
    <w:rsid w:val="001F6A0F"/>
    <w:rsid w:val="001F6C89"/>
    <w:rsid w:val="002053E7"/>
    <w:rsid w:val="002107C2"/>
    <w:rsid w:val="00213DDB"/>
    <w:rsid w:val="0023048A"/>
    <w:rsid w:val="00230E76"/>
    <w:rsid w:val="00232FA0"/>
    <w:rsid w:val="00235011"/>
    <w:rsid w:val="00242E28"/>
    <w:rsid w:val="00246C05"/>
    <w:rsid w:val="00246D3E"/>
    <w:rsid w:val="002505D1"/>
    <w:rsid w:val="00252048"/>
    <w:rsid w:val="00254831"/>
    <w:rsid w:val="00260F7E"/>
    <w:rsid w:val="00274465"/>
    <w:rsid w:val="002749E7"/>
    <w:rsid w:val="00275F8A"/>
    <w:rsid w:val="002812B3"/>
    <w:rsid w:val="002977F9"/>
    <w:rsid w:val="00297839"/>
    <w:rsid w:val="002A1FA0"/>
    <w:rsid w:val="002A4232"/>
    <w:rsid w:val="002A475D"/>
    <w:rsid w:val="002A5ED2"/>
    <w:rsid w:val="002C2275"/>
    <w:rsid w:val="002C6C13"/>
    <w:rsid w:val="002D2B5D"/>
    <w:rsid w:val="002D6A7A"/>
    <w:rsid w:val="002D70BE"/>
    <w:rsid w:val="002E0A42"/>
    <w:rsid w:val="002E2552"/>
    <w:rsid w:val="002F590D"/>
    <w:rsid w:val="0030036B"/>
    <w:rsid w:val="003145D4"/>
    <w:rsid w:val="00320156"/>
    <w:rsid w:val="00332327"/>
    <w:rsid w:val="00334CB0"/>
    <w:rsid w:val="00340E1F"/>
    <w:rsid w:val="003454EB"/>
    <w:rsid w:val="00350EA3"/>
    <w:rsid w:val="00355951"/>
    <w:rsid w:val="00357312"/>
    <w:rsid w:val="003624A9"/>
    <w:rsid w:val="0036270B"/>
    <w:rsid w:val="00362EC0"/>
    <w:rsid w:val="00365A27"/>
    <w:rsid w:val="00372223"/>
    <w:rsid w:val="003756D7"/>
    <w:rsid w:val="003760F0"/>
    <w:rsid w:val="0038128E"/>
    <w:rsid w:val="003826E7"/>
    <w:rsid w:val="00382887"/>
    <w:rsid w:val="00390CB4"/>
    <w:rsid w:val="003923EA"/>
    <w:rsid w:val="003A2848"/>
    <w:rsid w:val="003B0533"/>
    <w:rsid w:val="003B1CD1"/>
    <w:rsid w:val="003B2A4D"/>
    <w:rsid w:val="003B3E3B"/>
    <w:rsid w:val="003B7832"/>
    <w:rsid w:val="003C78C8"/>
    <w:rsid w:val="003D02F4"/>
    <w:rsid w:val="003D3023"/>
    <w:rsid w:val="003D6BA4"/>
    <w:rsid w:val="003D6E3E"/>
    <w:rsid w:val="003D7BC3"/>
    <w:rsid w:val="003E085B"/>
    <w:rsid w:val="003E1F0A"/>
    <w:rsid w:val="003E301C"/>
    <w:rsid w:val="003F0B8A"/>
    <w:rsid w:val="00404C1D"/>
    <w:rsid w:val="00431189"/>
    <w:rsid w:val="0043400A"/>
    <w:rsid w:val="00443BCD"/>
    <w:rsid w:val="00447545"/>
    <w:rsid w:val="00450064"/>
    <w:rsid w:val="00450F5A"/>
    <w:rsid w:val="0045467D"/>
    <w:rsid w:val="00460914"/>
    <w:rsid w:val="00462AB4"/>
    <w:rsid w:val="00464D44"/>
    <w:rsid w:val="004667E5"/>
    <w:rsid w:val="0047175B"/>
    <w:rsid w:val="0047249F"/>
    <w:rsid w:val="00483255"/>
    <w:rsid w:val="004A1E4E"/>
    <w:rsid w:val="004A4936"/>
    <w:rsid w:val="004A4FEE"/>
    <w:rsid w:val="004B0641"/>
    <w:rsid w:val="004B08CA"/>
    <w:rsid w:val="004B0A27"/>
    <w:rsid w:val="004B60E5"/>
    <w:rsid w:val="004B6356"/>
    <w:rsid w:val="004B6D70"/>
    <w:rsid w:val="004C0041"/>
    <w:rsid w:val="004C2381"/>
    <w:rsid w:val="004C4A68"/>
    <w:rsid w:val="004C6BF2"/>
    <w:rsid w:val="004E2E00"/>
    <w:rsid w:val="004E32FC"/>
    <w:rsid w:val="004E4B69"/>
    <w:rsid w:val="004E6709"/>
    <w:rsid w:val="004E6B7D"/>
    <w:rsid w:val="004F04AD"/>
    <w:rsid w:val="005005F9"/>
    <w:rsid w:val="00507FBF"/>
    <w:rsid w:val="00510A76"/>
    <w:rsid w:val="00517847"/>
    <w:rsid w:val="005214C6"/>
    <w:rsid w:val="00526260"/>
    <w:rsid w:val="00526685"/>
    <w:rsid w:val="00532528"/>
    <w:rsid w:val="005369AF"/>
    <w:rsid w:val="005408A7"/>
    <w:rsid w:val="00543352"/>
    <w:rsid w:val="00545821"/>
    <w:rsid w:val="00547CC5"/>
    <w:rsid w:val="00550124"/>
    <w:rsid w:val="00552A84"/>
    <w:rsid w:val="00554119"/>
    <w:rsid w:val="00556B6A"/>
    <w:rsid w:val="005737A9"/>
    <w:rsid w:val="0058174F"/>
    <w:rsid w:val="00586975"/>
    <w:rsid w:val="005940F1"/>
    <w:rsid w:val="00594694"/>
    <w:rsid w:val="005A20F2"/>
    <w:rsid w:val="005B75D7"/>
    <w:rsid w:val="005C11BE"/>
    <w:rsid w:val="005C79A2"/>
    <w:rsid w:val="005D177F"/>
    <w:rsid w:val="005D378C"/>
    <w:rsid w:val="005D604A"/>
    <w:rsid w:val="005E6062"/>
    <w:rsid w:val="005E6FCB"/>
    <w:rsid w:val="005E75BE"/>
    <w:rsid w:val="005F2E16"/>
    <w:rsid w:val="005F7638"/>
    <w:rsid w:val="005F7D8B"/>
    <w:rsid w:val="0060058C"/>
    <w:rsid w:val="00600F78"/>
    <w:rsid w:val="0060444F"/>
    <w:rsid w:val="00605C28"/>
    <w:rsid w:val="00612177"/>
    <w:rsid w:val="00624706"/>
    <w:rsid w:val="00624910"/>
    <w:rsid w:val="0062567C"/>
    <w:rsid w:val="00635225"/>
    <w:rsid w:val="006376B8"/>
    <w:rsid w:val="00640DBB"/>
    <w:rsid w:val="006421F9"/>
    <w:rsid w:val="00642E4C"/>
    <w:rsid w:val="00646C90"/>
    <w:rsid w:val="006562E0"/>
    <w:rsid w:val="006568E3"/>
    <w:rsid w:val="0065723C"/>
    <w:rsid w:val="00657930"/>
    <w:rsid w:val="006634AF"/>
    <w:rsid w:val="00663A30"/>
    <w:rsid w:val="00665F72"/>
    <w:rsid w:val="00667695"/>
    <w:rsid w:val="00687C07"/>
    <w:rsid w:val="00691F9A"/>
    <w:rsid w:val="00695433"/>
    <w:rsid w:val="00697051"/>
    <w:rsid w:val="006A0106"/>
    <w:rsid w:val="006A14AD"/>
    <w:rsid w:val="006A33D7"/>
    <w:rsid w:val="006A53BD"/>
    <w:rsid w:val="006A60BF"/>
    <w:rsid w:val="006B19CE"/>
    <w:rsid w:val="006B2405"/>
    <w:rsid w:val="006B2567"/>
    <w:rsid w:val="006B3FED"/>
    <w:rsid w:val="006B695E"/>
    <w:rsid w:val="006C44E6"/>
    <w:rsid w:val="006C66C8"/>
    <w:rsid w:val="006C750A"/>
    <w:rsid w:val="006D0EF8"/>
    <w:rsid w:val="006D4622"/>
    <w:rsid w:val="006D4852"/>
    <w:rsid w:val="006D7B94"/>
    <w:rsid w:val="006E1EEF"/>
    <w:rsid w:val="006E7500"/>
    <w:rsid w:val="006E755C"/>
    <w:rsid w:val="006F0383"/>
    <w:rsid w:val="006F15EF"/>
    <w:rsid w:val="006F2049"/>
    <w:rsid w:val="006F204E"/>
    <w:rsid w:val="006F3AB5"/>
    <w:rsid w:val="007026C3"/>
    <w:rsid w:val="00705154"/>
    <w:rsid w:val="00715FA0"/>
    <w:rsid w:val="0072596E"/>
    <w:rsid w:val="00732C3E"/>
    <w:rsid w:val="00736690"/>
    <w:rsid w:val="00744E3A"/>
    <w:rsid w:val="0074784A"/>
    <w:rsid w:val="007522C9"/>
    <w:rsid w:val="007546BD"/>
    <w:rsid w:val="00762F12"/>
    <w:rsid w:val="00762FC6"/>
    <w:rsid w:val="00767383"/>
    <w:rsid w:val="0077264A"/>
    <w:rsid w:val="00773F7E"/>
    <w:rsid w:val="007806C1"/>
    <w:rsid w:val="007866A7"/>
    <w:rsid w:val="00787B22"/>
    <w:rsid w:val="0079236A"/>
    <w:rsid w:val="00797261"/>
    <w:rsid w:val="007A5F7B"/>
    <w:rsid w:val="007B4656"/>
    <w:rsid w:val="007B5152"/>
    <w:rsid w:val="007C3F21"/>
    <w:rsid w:val="007C4BC5"/>
    <w:rsid w:val="007C5850"/>
    <w:rsid w:val="007C7025"/>
    <w:rsid w:val="007D10A7"/>
    <w:rsid w:val="007D4CE3"/>
    <w:rsid w:val="007E0EF2"/>
    <w:rsid w:val="007E1F8E"/>
    <w:rsid w:val="007E64FD"/>
    <w:rsid w:val="007E679D"/>
    <w:rsid w:val="00800C79"/>
    <w:rsid w:val="00802814"/>
    <w:rsid w:val="00805723"/>
    <w:rsid w:val="008073F7"/>
    <w:rsid w:val="008100E4"/>
    <w:rsid w:val="00812DC1"/>
    <w:rsid w:val="00817E7B"/>
    <w:rsid w:val="008219A4"/>
    <w:rsid w:val="00832B17"/>
    <w:rsid w:val="00855EE3"/>
    <w:rsid w:val="00872EFD"/>
    <w:rsid w:val="00873DAC"/>
    <w:rsid w:val="00882BFC"/>
    <w:rsid w:val="008A1F15"/>
    <w:rsid w:val="008B3142"/>
    <w:rsid w:val="008B3AF7"/>
    <w:rsid w:val="008B7131"/>
    <w:rsid w:val="008C7CF9"/>
    <w:rsid w:val="008D08FF"/>
    <w:rsid w:val="008D41EF"/>
    <w:rsid w:val="008D4760"/>
    <w:rsid w:val="008D5D33"/>
    <w:rsid w:val="008E0C30"/>
    <w:rsid w:val="008E30EF"/>
    <w:rsid w:val="008E3CD2"/>
    <w:rsid w:val="008E4B29"/>
    <w:rsid w:val="008E6BA9"/>
    <w:rsid w:val="008E7D70"/>
    <w:rsid w:val="008F3B3B"/>
    <w:rsid w:val="008F52E2"/>
    <w:rsid w:val="0090177F"/>
    <w:rsid w:val="009134D6"/>
    <w:rsid w:val="00927E19"/>
    <w:rsid w:val="00931304"/>
    <w:rsid w:val="00933369"/>
    <w:rsid w:val="00933F1E"/>
    <w:rsid w:val="009356C8"/>
    <w:rsid w:val="00940731"/>
    <w:rsid w:val="00944A05"/>
    <w:rsid w:val="00951123"/>
    <w:rsid w:val="00951ECA"/>
    <w:rsid w:val="00954850"/>
    <w:rsid w:val="0095645D"/>
    <w:rsid w:val="009608F5"/>
    <w:rsid w:val="00961480"/>
    <w:rsid w:val="00961C49"/>
    <w:rsid w:val="00967BDD"/>
    <w:rsid w:val="00971ED6"/>
    <w:rsid w:val="00975E73"/>
    <w:rsid w:val="00981738"/>
    <w:rsid w:val="00982AB9"/>
    <w:rsid w:val="0098599C"/>
    <w:rsid w:val="009870E0"/>
    <w:rsid w:val="00996825"/>
    <w:rsid w:val="009B56A7"/>
    <w:rsid w:val="009B7ADB"/>
    <w:rsid w:val="009C2FD0"/>
    <w:rsid w:val="009C3281"/>
    <w:rsid w:val="009C555D"/>
    <w:rsid w:val="009D413D"/>
    <w:rsid w:val="009D4D92"/>
    <w:rsid w:val="009D5CAE"/>
    <w:rsid w:val="009D6CBB"/>
    <w:rsid w:val="009E27F5"/>
    <w:rsid w:val="009E3CCE"/>
    <w:rsid w:val="009E40CC"/>
    <w:rsid w:val="009F24CB"/>
    <w:rsid w:val="009F4EC1"/>
    <w:rsid w:val="00A05492"/>
    <w:rsid w:val="00A07E21"/>
    <w:rsid w:val="00A12809"/>
    <w:rsid w:val="00A152C5"/>
    <w:rsid w:val="00A25F42"/>
    <w:rsid w:val="00A278C0"/>
    <w:rsid w:val="00A349FD"/>
    <w:rsid w:val="00A41946"/>
    <w:rsid w:val="00A429C7"/>
    <w:rsid w:val="00A444BF"/>
    <w:rsid w:val="00A44CEC"/>
    <w:rsid w:val="00A50F61"/>
    <w:rsid w:val="00A5142F"/>
    <w:rsid w:val="00A51D97"/>
    <w:rsid w:val="00A53161"/>
    <w:rsid w:val="00A533BF"/>
    <w:rsid w:val="00A573A1"/>
    <w:rsid w:val="00A66235"/>
    <w:rsid w:val="00A711BA"/>
    <w:rsid w:val="00A8026E"/>
    <w:rsid w:val="00A8035A"/>
    <w:rsid w:val="00A805D7"/>
    <w:rsid w:val="00A80CAD"/>
    <w:rsid w:val="00A865DB"/>
    <w:rsid w:val="00A90066"/>
    <w:rsid w:val="00AA35D8"/>
    <w:rsid w:val="00AA4A16"/>
    <w:rsid w:val="00AA72E7"/>
    <w:rsid w:val="00AB015F"/>
    <w:rsid w:val="00AB0E0F"/>
    <w:rsid w:val="00AC1A9E"/>
    <w:rsid w:val="00AC2C6C"/>
    <w:rsid w:val="00AC6C32"/>
    <w:rsid w:val="00AD7E8D"/>
    <w:rsid w:val="00AF3640"/>
    <w:rsid w:val="00B11930"/>
    <w:rsid w:val="00B17CA1"/>
    <w:rsid w:val="00B201FC"/>
    <w:rsid w:val="00B20757"/>
    <w:rsid w:val="00B222E3"/>
    <w:rsid w:val="00B27849"/>
    <w:rsid w:val="00B34EEB"/>
    <w:rsid w:val="00B4148B"/>
    <w:rsid w:val="00B56690"/>
    <w:rsid w:val="00B637A8"/>
    <w:rsid w:val="00B66939"/>
    <w:rsid w:val="00B707B5"/>
    <w:rsid w:val="00B76792"/>
    <w:rsid w:val="00B84281"/>
    <w:rsid w:val="00B8428B"/>
    <w:rsid w:val="00B8602B"/>
    <w:rsid w:val="00B90627"/>
    <w:rsid w:val="00B90BED"/>
    <w:rsid w:val="00B96DBE"/>
    <w:rsid w:val="00BA25BB"/>
    <w:rsid w:val="00BA7C21"/>
    <w:rsid w:val="00BB31DF"/>
    <w:rsid w:val="00BB3D2A"/>
    <w:rsid w:val="00BB68A2"/>
    <w:rsid w:val="00BB79B3"/>
    <w:rsid w:val="00BC120D"/>
    <w:rsid w:val="00BC2A77"/>
    <w:rsid w:val="00BC31AD"/>
    <w:rsid w:val="00BF3D5D"/>
    <w:rsid w:val="00BF745C"/>
    <w:rsid w:val="00C0279E"/>
    <w:rsid w:val="00C04692"/>
    <w:rsid w:val="00C06099"/>
    <w:rsid w:val="00C12874"/>
    <w:rsid w:val="00C12D9A"/>
    <w:rsid w:val="00C20681"/>
    <w:rsid w:val="00C218CB"/>
    <w:rsid w:val="00C34D78"/>
    <w:rsid w:val="00C35DCF"/>
    <w:rsid w:val="00C40151"/>
    <w:rsid w:val="00C453B6"/>
    <w:rsid w:val="00C47079"/>
    <w:rsid w:val="00C55DC6"/>
    <w:rsid w:val="00C62516"/>
    <w:rsid w:val="00C6348C"/>
    <w:rsid w:val="00C7172A"/>
    <w:rsid w:val="00C72F10"/>
    <w:rsid w:val="00C749A7"/>
    <w:rsid w:val="00C751C9"/>
    <w:rsid w:val="00C77FD5"/>
    <w:rsid w:val="00C84942"/>
    <w:rsid w:val="00C87163"/>
    <w:rsid w:val="00C9276B"/>
    <w:rsid w:val="00C92CDB"/>
    <w:rsid w:val="00C949FD"/>
    <w:rsid w:val="00C95883"/>
    <w:rsid w:val="00C97C81"/>
    <w:rsid w:val="00CA093C"/>
    <w:rsid w:val="00CA1D28"/>
    <w:rsid w:val="00CB04E3"/>
    <w:rsid w:val="00CB685D"/>
    <w:rsid w:val="00CC16B9"/>
    <w:rsid w:val="00CD5850"/>
    <w:rsid w:val="00CE1347"/>
    <w:rsid w:val="00CE44BB"/>
    <w:rsid w:val="00CE46FA"/>
    <w:rsid w:val="00CE78D4"/>
    <w:rsid w:val="00CF1168"/>
    <w:rsid w:val="00D01134"/>
    <w:rsid w:val="00D0454F"/>
    <w:rsid w:val="00D07878"/>
    <w:rsid w:val="00D11FD5"/>
    <w:rsid w:val="00D1530B"/>
    <w:rsid w:val="00D27263"/>
    <w:rsid w:val="00D328AD"/>
    <w:rsid w:val="00D3652F"/>
    <w:rsid w:val="00D4097E"/>
    <w:rsid w:val="00D421E7"/>
    <w:rsid w:val="00D475FD"/>
    <w:rsid w:val="00D47862"/>
    <w:rsid w:val="00D51B95"/>
    <w:rsid w:val="00D53985"/>
    <w:rsid w:val="00D5432D"/>
    <w:rsid w:val="00D61A7D"/>
    <w:rsid w:val="00D764DB"/>
    <w:rsid w:val="00D82CAC"/>
    <w:rsid w:val="00D9022A"/>
    <w:rsid w:val="00D93842"/>
    <w:rsid w:val="00D94C7D"/>
    <w:rsid w:val="00DA3523"/>
    <w:rsid w:val="00DA694D"/>
    <w:rsid w:val="00DC51F6"/>
    <w:rsid w:val="00DD388B"/>
    <w:rsid w:val="00DD6CCD"/>
    <w:rsid w:val="00DE4C30"/>
    <w:rsid w:val="00DE68C5"/>
    <w:rsid w:val="00E00D1F"/>
    <w:rsid w:val="00E02ACF"/>
    <w:rsid w:val="00E1142F"/>
    <w:rsid w:val="00E17688"/>
    <w:rsid w:val="00E241B2"/>
    <w:rsid w:val="00E337BF"/>
    <w:rsid w:val="00E4401D"/>
    <w:rsid w:val="00E46B79"/>
    <w:rsid w:val="00E51397"/>
    <w:rsid w:val="00E535BC"/>
    <w:rsid w:val="00E60601"/>
    <w:rsid w:val="00E61B10"/>
    <w:rsid w:val="00E62DDC"/>
    <w:rsid w:val="00E643D5"/>
    <w:rsid w:val="00E706EC"/>
    <w:rsid w:val="00E70D4C"/>
    <w:rsid w:val="00E71D1B"/>
    <w:rsid w:val="00E742B1"/>
    <w:rsid w:val="00E84957"/>
    <w:rsid w:val="00E85820"/>
    <w:rsid w:val="00E85DCC"/>
    <w:rsid w:val="00E96353"/>
    <w:rsid w:val="00EA7BD4"/>
    <w:rsid w:val="00EA7E1D"/>
    <w:rsid w:val="00EB4640"/>
    <w:rsid w:val="00EB4B68"/>
    <w:rsid w:val="00EC070E"/>
    <w:rsid w:val="00EC178C"/>
    <w:rsid w:val="00ED3C00"/>
    <w:rsid w:val="00ED529A"/>
    <w:rsid w:val="00EE2FF8"/>
    <w:rsid w:val="00EF0C26"/>
    <w:rsid w:val="00EF4079"/>
    <w:rsid w:val="00F04687"/>
    <w:rsid w:val="00F051F9"/>
    <w:rsid w:val="00F10BB8"/>
    <w:rsid w:val="00F12B6C"/>
    <w:rsid w:val="00F239F2"/>
    <w:rsid w:val="00F40768"/>
    <w:rsid w:val="00F40F82"/>
    <w:rsid w:val="00F56662"/>
    <w:rsid w:val="00F604E4"/>
    <w:rsid w:val="00F656CD"/>
    <w:rsid w:val="00F700CC"/>
    <w:rsid w:val="00F72BE3"/>
    <w:rsid w:val="00F735C0"/>
    <w:rsid w:val="00F7498D"/>
    <w:rsid w:val="00F8277F"/>
    <w:rsid w:val="00F85FB2"/>
    <w:rsid w:val="00F87D27"/>
    <w:rsid w:val="00F91189"/>
    <w:rsid w:val="00F9486A"/>
    <w:rsid w:val="00F96DD8"/>
    <w:rsid w:val="00FA4B63"/>
    <w:rsid w:val="00FA6CE9"/>
    <w:rsid w:val="00FB5993"/>
    <w:rsid w:val="00FB5D15"/>
    <w:rsid w:val="00FC31CD"/>
    <w:rsid w:val="00FC763A"/>
    <w:rsid w:val="00FD3E0D"/>
    <w:rsid w:val="00FE5BDF"/>
    <w:rsid w:val="00FE61F6"/>
    <w:rsid w:val="00FF1085"/>
    <w:rsid w:val="00FF2480"/>
    <w:rsid w:val="0A55F0DA"/>
    <w:rsid w:val="35D322AB"/>
    <w:rsid w:val="6BB5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B7BE4"/>
  <w15:docId w15:val="{66A0A6E2-4D32-460C-8335-87D5A08F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36B"/>
  </w:style>
  <w:style w:type="paragraph" w:styleId="Heading1">
    <w:name w:val="heading 1"/>
    <w:basedOn w:val="Normal"/>
    <w:link w:val="Heading1Char"/>
    <w:uiPriority w:val="9"/>
    <w:qFormat/>
    <w:rsid w:val="00D539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90B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F3D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117"/>
    <w:rPr>
      <w:rFonts w:ascii="Tahoma" w:hAnsi="Tahoma" w:cs="Tahoma"/>
      <w:sz w:val="16"/>
      <w:szCs w:val="16"/>
    </w:rPr>
  </w:style>
  <w:style w:type="paragraph" w:styleId="ListParagraph">
    <w:name w:val="List Paragraph"/>
    <w:basedOn w:val="Normal"/>
    <w:uiPriority w:val="34"/>
    <w:qFormat/>
    <w:rsid w:val="00072117"/>
    <w:pPr>
      <w:ind w:left="720"/>
      <w:contextualSpacing/>
    </w:pPr>
  </w:style>
  <w:style w:type="character" w:styleId="CommentReference">
    <w:name w:val="annotation reference"/>
    <w:basedOn w:val="DefaultParagraphFont"/>
    <w:semiHidden/>
    <w:unhideWhenUsed/>
    <w:rsid w:val="007C7025"/>
    <w:rPr>
      <w:sz w:val="16"/>
      <w:szCs w:val="16"/>
    </w:rPr>
  </w:style>
  <w:style w:type="paragraph" w:styleId="CommentText">
    <w:name w:val="annotation text"/>
    <w:basedOn w:val="Normal"/>
    <w:link w:val="CommentTextChar"/>
    <w:uiPriority w:val="99"/>
    <w:unhideWhenUsed/>
    <w:rsid w:val="007C7025"/>
    <w:pPr>
      <w:spacing w:line="240" w:lineRule="auto"/>
    </w:pPr>
    <w:rPr>
      <w:sz w:val="20"/>
      <w:szCs w:val="20"/>
    </w:rPr>
  </w:style>
  <w:style w:type="character" w:customStyle="1" w:styleId="CommentTextChar">
    <w:name w:val="Comment Text Char"/>
    <w:basedOn w:val="DefaultParagraphFont"/>
    <w:link w:val="CommentText"/>
    <w:uiPriority w:val="99"/>
    <w:rsid w:val="007C7025"/>
    <w:rPr>
      <w:sz w:val="20"/>
      <w:szCs w:val="20"/>
    </w:rPr>
  </w:style>
  <w:style w:type="paragraph" w:styleId="CommentSubject">
    <w:name w:val="annotation subject"/>
    <w:basedOn w:val="CommentText"/>
    <w:next w:val="CommentText"/>
    <w:link w:val="CommentSubjectChar"/>
    <w:uiPriority w:val="99"/>
    <w:semiHidden/>
    <w:unhideWhenUsed/>
    <w:rsid w:val="007C7025"/>
    <w:rPr>
      <w:b/>
      <w:bCs/>
    </w:rPr>
  </w:style>
  <w:style w:type="character" w:customStyle="1" w:styleId="CommentSubjectChar">
    <w:name w:val="Comment Subject Char"/>
    <w:basedOn w:val="CommentTextChar"/>
    <w:link w:val="CommentSubject"/>
    <w:uiPriority w:val="99"/>
    <w:semiHidden/>
    <w:rsid w:val="007C7025"/>
    <w:rPr>
      <w:b/>
      <w:bCs/>
      <w:sz w:val="20"/>
      <w:szCs w:val="20"/>
    </w:rPr>
  </w:style>
  <w:style w:type="character" w:styleId="Hyperlink">
    <w:name w:val="Hyperlink"/>
    <w:basedOn w:val="DefaultParagraphFont"/>
    <w:uiPriority w:val="99"/>
    <w:unhideWhenUsed/>
    <w:rsid w:val="001A6447"/>
    <w:rPr>
      <w:color w:val="0000FF" w:themeColor="hyperlink"/>
      <w:u w:val="single"/>
    </w:rPr>
  </w:style>
  <w:style w:type="paragraph" w:styleId="Revision">
    <w:name w:val="Revision"/>
    <w:hidden/>
    <w:uiPriority w:val="99"/>
    <w:semiHidden/>
    <w:rsid w:val="00C12D9A"/>
    <w:pPr>
      <w:spacing w:after="0" w:line="240" w:lineRule="auto"/>
    </w:pPr>
  </w:style>
  <w:style w:type="paragraph" w:styleId="Header">
    <w:name w:val="header"/>
    <w:basedOn w:val="Normal"/>
    <w:link w:val="HeaderChar"/>
    <w:uiPriority w:val="99"/>
    <w:unhideWhenUsed/>
    <w:rsid w:val="008B3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AF7"/>
  </w:style>
  <w:style w:type="paragraph" w:styleId="Footer">
    <w:name w:val="footer"/>
    <w:basedOn w:val="Normal"/>
    <w:link w:val="FooterChar"/>
    <w:uiPriority w:val="99"/>
    <w:unhideWhenUsed/>
    <w:rsid w:val="008B3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AF7"/>
  </w:style>
  <w:style w:type="table" w:styleId="TableGrid">
    <w:name w:val="Table Grid"/>
    <w:basedOn w:val="TableNormal"/>
    <w:uiPriority w:val="59"/>
    <w:rsid w:val="00FA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35BC"/>
    <w:rPr>
      <w:color w:val="800080" w:themeColor="followedHyperlink"/>
      <w:u w:val="single"/>
    </w:rPr>
  </w:style>
  <w:style w:type="paragraph" w:styleId="NormalWeb">
    <w:name w:val="Normal (Web)"/>
    <w:basedOn w:val="Normal"/>
    <w:uiPriority w:val="99"/>
    <w:unhideWhenUsed/>
    <w:rsid w:val="00164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EFF"/>
  </w:style>
  <w:style w:type="character" w:styleId="Strong">
    <w:name w:val="Strong"/>
    <w:basedOn w:val="DefaultParagraphFont"/>
    <w:uiPriority w:val="22"/>
    <w:qFormat/>
    <w:rsid w:val="0038128E"/>
    <w:rPr>
      <w:b/>
      <w:bCs/>
    </w:rPr>
  </w:style>
  <w:style w:type="paragraph" w:styleId="EndnoteText">
    <w:name w:val="endnote text"/>
    <w:basedOn w:val="Normal"/>
    <w:link w:val="EndnoteTextChar"/>
    <w:uiPriority w:val="99"/>
    <w:semiHidden/>
    <w:unhideWhenUsed/>
    <w:rsid w:val="005369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69AF"/>
    <w:rPr>
      <w:sz w:val="20"/>
      <w:szCs w:val="20"/>
    </w:rPr>
  </w:style>
  <w:style w:type="character" w:styleId="EndnoteReference">
    <w:name w:val="endnote reference"/>
    <w:basedOn w:val="DefaultParagraphFont"/>
    <w:uiPriority w:val="99"/>
    <w:semiHidden/>
    <w:unhideWhenUsed/>
    <w:rsid w:val="005369AF"/>
    <w:rPr>
      <w:vertAlign w:val="superscript"/>
    </w:rPr>
  </w:style>
  <w:style w:type="character" w:customStyle="1" w:styleId="Heading1Char">
    <w:name w:val="Heading 1 Char"/>
    <w:basedOn w:val="DefaultParagraphFont"/>
    <w:link w:val="Heading1"/>
    <w:uiPriority w:val="9"/>
    <w:rsid w:val="00D53985"/>
    <w:rPr>
      <w:rFonts w:ascii="Times New Roman" w:eastAsia="Times New Roman" w:hAnsi="Times New Roman" w:cs="Times New Roman"/>
      <w:b/>
      <w:bCs/>
      <w:kern w:val="36"/>
      <w:sz w:val="48"/>
      <w:szCs w:val="48"/>
    </w:rPr>
  </w:style>
  <w:style w:type="character" w:customStyle="1" w:styleId="fm-vol-iss-date">
    <w:name w:val="fm-vol-iss-date"/>
    <w:basedOn w:val="DefaultParagraphFont"/>
    <w:rsid w:val="00D53985"/>
  </w:style>
  <w:style w:type="character" w:customStyle="1" w:styleId="doi">
    <w:name w:val="doi"/>
    <w:basedOn w:val="DefaultParagraphFont"/>
    <w:rsid w:val="00D53985"/>
  </w:style>
  <w:style w:type="character" w:customStyle="1" w:styleId="fm-citation-ids-label">
    <w:name w:val="fm-citation-ids-label"/>
    <w:basedOn w:val="DefaultParagraphFont"/>
    <w:rsid w:val="00D53985"/>
  </w:style>
  <w:style w:type="character" w:customStyle="1" w:styleId="ref-journal">
    <w:name w:val="ref-journal"/>
    <w:basedOn w:val="DefaultParagraphFont"/>
    <w:rsid w:val="00D53985"/>
  </w:style>
  <w:style w:type="character" w:customStyle="1" w:styleId="nowrap">
    <w:name w:val="nowrap"/>
    <w:basedOn w:val="DefaultParagraphFont"/>
    <w:rsid w:val="00D53985"/>
  </w:style>
  <w:style w:type="paragraph" w:customStyle="1" w:styleId="p1">
    <w:name w:val="p1"/>
    <w:basedOn w:val="Normal"/>
    <w:rsid w:val="004717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471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F3D5D"/>
    <w:rPr>
      <w:rFonts w:asciiTheme="majorHAnsi" w:eastAsiaTheme="majorEastAsia" w:hAnsiTheme="majorHAnsi" w:cstheme="majorBidi"/>
      <w:i/>
      <w:iCs/>
      <w:color w:val="365F91" w:themeColor="accent1" w:themeShade="BF"/>
    </w:rPr>
  </w:style>
  <w:style w:type="character" w:customStyle="1" w:styleId="tooltipck">
    <w:name w:val="tooltipck"/>
    <w:basedOn w:val="DefaultParagraphFont"/>
    <w:rsid w:val="00B90BED"/>
  </w:style>
  <w:style w:type="character" w:customStyle="1" w:styleId="Heading2Char">
    <w:name w:val="Heading 2 Char"/>
    <w:basedOn w:val="DefaultParagraphFont"/>
    <w:link w:val="Heading2"/>
    <w:uiPriority w:val="9"/>
    <w:rsid w:val="00B90BED"/>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8B7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928">
      <w:bodyDiv w:val="1"/>
      <w:marLeft w:val="0"/>
      <w:marRight w:val="0"/>
      <w:marTop w:val="0"/>
      <w:marBottom w:val="0"/>
      <w:divBdr>
        <w:top w:val="none" w:sz="0" w:space="0" w:color="auto"/>
        <w:left w:val="none" w:sz="0" w:space="0" w:color="auto"/>
        <w:bottom w:val="none" w:sz="0" w:space="0" w:color="auto"/>
        <w:right w:val="none" w:sz="0" w:space="0" w:color="auto"/>
      </w:divBdr>
    </w:div>
    <w:div w:id="63921205">
      <w:bodyDiv w:val="1"/>
      <w:marLeft w:val="0"/>
      <w:marRight w:val="0"/>
      <w:marTop w:val="0"/>
      <w:marBottom w:val="0"/>
      <w:divBdr>
        <w:top w:val="none" w:sz="0" w:space="0" w:color="auto"/>
        <w:left w:val="none" w:sz="0" w:space="0" w:color="auto"/>
        <w:bottom w:val="none" w:sz="0" w:space="0" w:color="auto"/>
        <w:right w:val="none" w:sz="0" w:space="0" w:color="auto"/>
      </w:divBdr>
      <w:divsChild>
        <w:div w:id="538399857">
          <w:marLeft w:val="432"/>
          <w:marRight w:val="0"/>
          <w:marTop w:val="134"/>
          <w:marBottom w:val="0"/>
          <w:divBdr>
            <w:top w:val="none" w:sz="0" w:space="0" w:color="auto"/>
            <w:left w:val="none" w:sz="0" w:space="0" w:color="auto"/>
            <w:bottom w:val="none" w:sz="0" w:space="0" w:color="auto"/>
            <w:right w:val="none" w:sz="0" w:space="0" w:color="auto"/>
          </w:divBdr>
        </w:div>
        <w:div w:id="952513723">
          <w:marLeft w:val="432"/>
          <w:marRight w:val="0"/>
          <w:marTop w:val="134"/>
          <w:marBottom w:val="0"/>
          <w:divBdr>
            <w:top w:val="none" w:sz="0" w:space="0" w:color="auto"/>
            <w:left w:val="none" w:sz="0" w:space="0" w:color="auto"/>
            <w:bottom w:val="none" w:sz="0" w:space="0" w:color="auto"/>
            <w:right w:val="none" w:sz="0" w:space="0" w:color="auto"/>
          </w:divBdr>
        </w:div>
        <w:div w:id="1025785096">
          <w:marLeft w:val="432"/>
          <w:marRight w:val="0"/>
          <w:marTop w:val="134"/>
          <w:marBottom w:val="0"/>
          <w:divBdr>
            <w:top w:val="none" w:sz="0" w:space="0" w:color="auto"/>
            <w:left w:val="none" w:sz="0" w:space="0" w:color="auto"/>
            <w:bottom w:val="none" w:sz="0" w:space="0" w:color="auto"/>
            <w:right w:val="none" w:sz="0" w:space="0" w:color="auto"/>
          </w:divBdr>
        </w:div>
        <w:div w:id="1060859309">
          <w:marLeft w:val="432"/>
          <w:marRight w:val="0"/>
          <w:marTop w:val="134"/>
          <w:marBottom w:val="0"/>
          <w:divBdr>
            <w:top w:val="none" w:sz="0" w:space="0" w:color="auto"/>
            <w:left w:val="none" w:sz="0" w:space="0" w:color="auto"/>
            <w:bottom w:val="none" w:sz="0" w:space="0" w:color="auto"/>
            <w:right w:val="none" w:sz="0" w:space="0" w:color="auto"/>
          </w:divBdr>
        </w:div>
        <w:div w:id="1111165842">
          <w:marLeft w:val="432"/>
          <w:marRight w:val="0"/>
          <w:marTop w:val="134"/>
          <w:marBottom w:val="0"/>
          <w:divBdr>
            <w:top w:val="none" w:sz="0" w:space="0" w:color="auto"/>
            <w:left w:val="none" w:sz="0" w:space="0" w:color="auto"/>
            <w:bottom w:val="none" w:sz="0" w:space="0" w:color="auto"/>
            <w:right w:val="none" w:sz="0" w:space="0" w:color="auto"/>
          </w:divBdr>
        </w:div>
        <w:div w:id="1222517791">
          <w:marLeft w:val="432"/>
          <w:marRight w:val="0"/>
          <w:marTop w:val="134"/>
          <w:marBottom w:val="0"/>
          <w:divBdr>
            <w:top w:val="none" w:sz="0" w:space="0" w:color="auto"/>
            <w:left w:val="none" w:sz="0" w:space="0" w:color="auto"/>
            <w:bottom w:val="none" w:sz="0" w:space="0" w:color="auto"/>
            <w:right w:val="none" w:sz="0" w:space="0" w:color="auto"/>
          </w:divBdr>
        </w:div>
        <w:div w:id="1365399306">
          <w:marLeft w:val="432"/>
          <w:marRight w:val="0"/>
          <w:marTop w:val="134"/>
          <w:marBottom w:val="0"/>
          <w:divBdr>
            <w:top w:val="none" w:sz="0" w:space="0" w:color="auto"/>
            <w:left w:val="none" w:sz="0" w:space="0" w:color="auto"/>
            <w:bottom w:val="none" w:sz="0" w:space="0" w:color="auto"/>
            <w:right w:val="none" w:sz="0" w:space="0" w:color="auto"/>
          </w:divBdr>
        </w:div>
      </w:divsChild>
    </w:div>
    <w:div w:id="126509659">
      <w:bodyDiv w:val="1"/>
      <w:marLeft w:val="0"/>
      <w:marRight w:val="0"/>
      <w:marTop w:val="0"/>
      <w:marBottom w:val="0"/>
      <w:divBdr>
        <w:top w:val="none" w:sz="0" w:space="0" w:color="auto"/>
        <w:left w:val="none" w:sz="0" w:space="0" w:color="auto"/>
        <w:bottom w:val="none" w:sz="0" w:space="0" w:color="auto"/>
        <w:right w:val="none" w:sz="0" w:space="0" w:color="auto"/>
      </w:divBdr>
      <w:divsChild>
        <w:div w:id="1051853066">
          <w:marLeft w:val="0"/>
          <w:marRight w:val="0"/>
          <w:marTop w:val="0"/>
          <w:marBottom w:val="0"/>
          <w:divBdr>
            <w:top w:val="none" w:sz="0" w:space="0" w:color="auto"/>
            <w:left w:val="none" w:sz="0" w:space="0" w:color="auto"/>
            <w:bottom w:val="none" w:sz="0" w:space="0" w:color="auto"/>
            <w:right w:val="none" w:sz="0" w:space="0" w:color="auto"/>
          </w:divBdr>
        </w:div>
        <w:div w:id="1381827191">
          <w:marLeft w:val="0"/>
          <w:marRight w:val="0"/>
          <w:marTop w:val="0"/>
          <w:marBottom w:val="0"/>
          <w:divBdr>
            <w:top w:val="none" w:sz="0" w:space="0" w:color="auto"/>
            <w:left w:val="none" w:sz="0" w:space="0" w:color="auto"/>
            <w:bottom w:val="none" w:sz="0" w:space="0" w:color="auto"/>
            <w:right w:val="none" w:sz="0" w:space="0" w:color="auto"/>
          </w:divBdr>
        </w:div>
      </w:divsChild>
    </w:div>
    <w:div w:id="303629124">
      <w:bodyDiv w:val="1"/>
      <w:marLeft w:val="0"/>
      <w:marRight w:val="0"/>
      <w:marTop w:val="0"/>
      <w:marBottom w:val="0"/>
      <w:divBdr>
        <w:top w:val="none" w:sz="0" w:space="0" w:color="auto"/>
        <w:left w:val="none" w:sz="0" w:space="0" w:color="auto"/>
        <w:bottom w:val="none" w:sz="0" w:space="0" w:color="auto"/>
        <w:right w:val="none" w:sz="0" w:space="0" w:color="auto"/>
      </w:divBdr>
    </w:div>
    <w:div w:id="321011306">
      <w:bodyDiv w:val="1"/>
      <w:marLeft w:val="0"/>
      <w:marRight w:val="0"/>
      <w:marTop w:val="0"/>
      <w:marBottom w:val="0"/>
      <w:divBdr>
        <w:top w:val="none" w:sz="0" w:space="0" w:color="auto"/>
        <w:left w:val="none" w:sz="0" w:space="0" w:color="auto"/>
        <w:bottom w:val="none" w:sz="0" w:space="0" w:color="auto"/>
        <w:right w:val="none" w:sz="0" w:space="0" w:color="auto"/>
      </w:divBdr>
    </w:div>
    <w:div w:id="335690421">
      <w:bodyDiv w:val="1"/>
      <w:marLeft w:val="0"/>
      <w:marRight w:val="0"/>
      <w:marTop w:val="0"/>
      <w:marBottom w:val="0"/>
      <w:divBdr>
        <w:top w:val="none" w:sz="0" w:space="0" w:color="auto"/>
        <w:left w:val="none" w:sz="0" w:space="0" w:color="auto"/>
        <w:bottom w:val="none" w:sz="0" w:space="0" w:color="auto"/>
        <w:right w:val="none" w:sz="0" w:space="0" w:color="auto"/>
      </w:divBdr>
      <w:divsChild>
        <w:div w:id="1367608268">
          <w:marLeft w:val="0"/>
          <w:marRight w:val="0"/>
          <w:marTop w:val="0"/>
          <w:marBottom w:val="0"/>
          <w:divBdr>
            <w:top w:val="none" w:sz="0" w:space="0" w:color="auto"/>
            <w:left w:val="none" w:sz="0" w:space="0" w:color="auto"/>
            <w:bottom w:val="none" w:sz="0" w:space="0" w:color="auto"/>
            <w:right w:val="none" w:sz="0" w:space="0" w:color="auto"/>
          </w:divBdr>
          <w:divsChild>
            <w:div w:id="625356365">
              <w:marLeft w:val="0"/>
              <w:marRight w:val="0"/>
              <w:marTop w:val="0"/>
              <w:marBottom w:val="0"/>
              <w:divBdr>
                <w:top w:val="none" w:sz="0" w:space="0" w:color="auto"/>
                <w:left w:val="none" w:sz="0" w:space="0" w:color="auto"/>
                <w:bottom w:val="none" w:sz="0" w:space="0" w:color="auto"/>
                <w:right w:val="none" w:sz="0" w:space="0" w:color="auto"/>
              </w:divBdr>
              <w:divsChild>
                <w:div w:id="7590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22748">
      <w:bodyDiv w:val="1"/>
      <w:marLeft w:val="0"/>
      <w:marRight w:val="0"/>
      <w:marTop w:val="0"/>
      <w:marBottom w:val="0"/>
      <w:divBdr>
        <w:top w:val="none" w:sz="0" w:space="0" w:color="auto"/>
        <w:left w:val="none" w:sz="0" w:space="0" w:color="auto"/>
        <w:bottom w:val="none" w:sz="0" w:space="0" w:color="auto"/>
        <w:right w:val="none" w:sz="0" w:space="0" w:color="auto"/>
      </w:divBdr>
    </w:div>
    <w:div w:id="440027565">
      <w:bodyDiv w:val="1"/>
      <w:marLeft w:val="0"/>
      <w:marRight w:val="0"/>
      <w:marTop w:val="0"/>
      <w:marBottom w:val="0"/>
      <w:divBdr>
        <w:top w:val="none" w:sz="0" w:space="0" w:color="auto"/>
        <w:left w:val="none" w:sz="0" w:space="0" w:color="auto"/>
        <w:bottom w:val="none" w:sz="0" w:space="0" w:color="auto"/>
        <w:right w:val="none" w:sz="0" w:space="0" w:color="auto"/>
      </w:divBdr>
    </w:div>
    <w:div w:id="482965812">
      <w:bodyDiv w:val="1"/>
      <w:marLeft w:val="0"/>
      <w:marRight w:val="0"/>
      <w:marTop w:val="0"/>
      <w:marBottom w:val="0"/>
      <w:divBdr>
        <w:top w:val="none" w:sz="0" w:space="0" w:color="auto"/>
        <w:left w:val="none" w:sz="0" w:space="0" w:color="auto"/>
        <w:bottom w:val="none" w:sz="0" w:space="0" w:color="auto"/>
        <w:right w:val="none" w:sz="0" w:space="0" w:color="auto"/>
      </w:divBdr>
    </w:div>
    <w:div w:id="567350137">
      <w:bodyDiv w:val="1"/>
      <w:marLeft w:val="0"/>
      <w:marRight w:val="0"/>
      <w:marTop w:val="0"/>
      <w:marBottom w:val="0"/>
      <w:divBdr>
        <w:top w:val="none" w:sz="0" w:space="0" w:color="auto"/>
        <w:left w:val="none" w:sz="0" w:space="0" w:color="auto"/>
        <w:bottom w:val="none" w:sz="0" w:space="0" w:color="auto"/>
        <w:right w:val="none" w:sz="0" w:space="0" w:color="auto"/>
      </w:divBdr>
    </w:div>
    <w:div w:id="873031666">
      <w:bodyDiv w:val="1"/>
      <w:marLeft w:val="0"/>
      <w:marRight w:val="0"/>
      <w:marTop w:val="0"/>
      <w:marBottom w:val="0"/>
      <w:divBdr>
        <w:top w:val="none" w:sz="0" w:space="0" w:color="auto"/>
        <w:left w:val="none" w:sz="0" w:space="0" w:color="auto"/>
        <w:bottom w:val="none" w:sz="0" w:space="0" w:color="auto"/>
        <w:right w:val="none" w:sz="0" w:space="0" w:color="auto"/>
      </w:divBdr>
      <w:divsChild>
        <w:div w:id="1058699514">
          <w:marLeft w:val="0"/>
          <w:marRight w:val="0"/>
          <w:marTop w:val="0"/>
          <w:marBottom w:val="0"/>
          <w:divBdr>
            <w:top w:val="none" w:sz="0" w:space="0" w:color="auto"/>
            <w:left w:val="none" w:sz="0" w:space="0" w:color="auto"/>
            <w:bottom w:val="none" w:sz="0" w:space="0" w:color="auto"/>
            <w:right w:val="none" w:sz="0" w:space="0" w:color="auto"/>
          </w:divBdr>
          <w:divsChild>
            <w:div w:id="1769693276">
              <w:marLeft w:val="0"/>
              <w:marRight w:val="0"/>
              <w:marTop w:val="0"/>
              <w:marBottom w:val="0"/>
              <w:divBdr>
                <w:top w:val="none" w:sz="0" w:space="0" w:color="auto"/>
                <w:left w:val="none" w:sz="0" w:space="0" w:color="auto"/>
                <w:bottom w:val="none" w:sz="0" w:space="0" w:color="auto"/>
                <w:right w:val="none" w:sz="0" w:space="0" w:color="auto"/>
              </w:divBdr>
              <w:divsChild>
                <w:div w:id="21226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6495">
      <w:bodyDiv w:val="1"/>
      <w:marLeft w:val="0"/>
      <w:marRight w:val="0"/>
      <w:marTop w:val="0"/>
      <w:marBottom w:val="0"/>
      <w:divBdr>
        <w:top w:val="none" w:sz="0" w:space="0" w:color="auto"/>
        <w:left w:val="none" w:sz="0" w:space="0" w:color="auto"/>
        <w:bottom w:val="none" w:sz="0" w:space="0" w:color="auto"/>
        <w:right w:val="none" w:sz="0" w:space="0" w:color="auto"/>
      </w:divBdr>
      <w:divsChild>
        <w:div w:id="1865360358">
          <w:marLeft w:val="0"/>
          <w:marRight w:val="0"/>
          <w:marTop w:val="0"/>
          <w:marBottom w:val="0"/>
          <w:divBdr>
            <w:top w:val="none" w:sz="0" w:space="0" w:color="auto"/>
            <w:left w:val="none" w:sz="0" w:space="0" w:color="auto"/>
            <w:bottom w:val="none" w:sz="0" w:space="0" w:color="auto"/>
            <w:right w:val="none" w:sz="0" w:space="0" w:color="auto"/>
          </w:divBdr>
          <w:divsChild>
            <w:div w:id="208273531">
              <w:marLeft w:val="0"/>
              <w:marRight w:val="0"/>
              <w:marTop w:val="0"/>
              <w:marBottom w:val="0"/>
              <w:divBdr>
                <w:top w:val="none" w:sz="0" w:space="0" w:color="auto"/>
                <w:left w:val="none" w:sz="0" w:space="0" w:color="auto"/>
                <w:bottom w:val="none" w:sz="0" w:space="0" w:color="auto"/>
                <w:right w:val="none" w:sz="0" w:space="0" w:color="auto"/>
              </w:divBdr>
              <w:divsChild>
                <w:div w:id="19388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8674">
      <w:bodyDiv w:val="1"/>
      <w:marLeft w:val="0"/>
      <w:marRight w:val="0"/>
      <w:marTop w:val="0"/>
      <w:marBottom w:val="0"/>
      <w:divBdr>
        <w:top w:val="none" w:sz="0" w:space="0" w:color="auto"/>
        <w:left w:val="none" w:sz="0" w:space="0" w:color="auto"/>
        <w:bottom w:val="none" w:sz="0" w:space="0" w:color="auto"/>
        <w:right w:val="none" w:sz="0" w:space="0" w:color="auto"/>
      </w:divBdr>
    </w:div>
    <w:div w:id="983581341">
      <w:bodyDiv w:val="1"/>
      <w:marLeft w:val="0"/>
      <w:marRight w:val="0"/>
      <w:marTop w:val="0"/>
      <w:marBottom w:val="0"/>
      <w:divBdr>
        <w:top w:val="none" w:sz="0" w:space="0" w:color="auto"/>
        <w:left w:val="none" w:sz="0" w:space="0" w:color="auto"/>
        <w:bottom w:val="none" w:sz="0" w:space="0" w:color="auto"/>
        <w:right w:val="none" w:sz="0" w:space="0" w:color="auto"/>
      </w:divBdr>
      <w:divsChild>
        <w:div w:id="860318443">
          <w:marLeft w:val="0"/>
          <w:marRight w:val="0"/>
          <w:marTop w:val="0"/>
          <w:marBottom w:val="0"/>
          <w:divBdr>
            <w:top w:val="none" w:sz="0" w:space="0" w:color="auto"/>
            <w:left w:val="none" w:sz="0" w:space="0" w:color="auto"/>
            <w:bottom w:val="none" w:sz="0" w:space="0" w:color="auto"/>
            <w:right w:val="none" w:sz="0" w:space="0" w:color="auto"/>
          </w:divBdr>
          <w:divsChild>
            <w:div w:id="2143183739">
              <w:marLeft w:val="0"/>
              <w:marRight w:val="0"/>
              <w:marTop w:val="0"/>
              <w:marBottom w:val="0"/>
              <w:divBdr>
                <w:top w:val="none" w:sz="0" w:space="0" w:color="auto"/>
                <w:left w:val="none" w:sz="0" w:space="0" w:color="auto"/>
                <w:bottom w:val="none" w:sz="0" w:space="0" w:color="auto"/>
                <w:right w:val="none" w:sz="0" w:space="0" w:color="auto"/>
              </w:divBdr>
              <w:divsChild>
                <w:div w:id="952253414">
                  <w:marLeft w:val="0"/>
                  <w:marRight w:val="0"/>
                  <w:marTop w:val="0"/>
                  <w:marBottom w:val="0"/>
                  <w:divBdr>
                    <w:top w:val="none" w:sz="0" w:space="0" w:color="auto"/>
                    <w:left w:val="none" w:sz="0" w:space="0" w:color="auto"/>
                    <w:bottom w:val="none" w:sz="0" w:space="0" w:color="auto"/>
                    <w:right w:val="none" w:sz="0" w:space="0" w:color="auto"/>
                  </w:divBdr>
                  <w:divsChild>
                    <w:div w:id="2024504838">
                      <w:marLeft w:val="0"/>
                      <w:marRight w:val="0"/>
                      <w:marTop w:val="0"/>
                      <w:marBottom w:val="0"/>
                      <w:divBdr>
                        <w:top w:val="none" w:sz="0" w:space="0" w:color="auto"/>
                        <w:left w:val="none" w:sz="0" w:space="0" w:color="auto"/>
                        <w:bottom w:val="none" w:sz="0" w:space="0" w:color="auto"/>
                        <w:right w:val="none" w:sz="0" w:space="0" w:color="auto"/>
                      </w:divBdr>
                    </w:div>
                    <w:div w:id="17395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1751">
              <w:marLeft w:val="240"/>
              <w:marRight w:val="0"/>
              <w:marTop w:val="0"/>
              <w:marBottom w:val="0"/>
              <w:divBdr>
                <w:top w:val="none" w:sz="0" w:space="0" w:color="auto"/>
                <w:left w:val="none" w:sz="0" w:space="0" w:color="auto"/>
                <w:bottom w:val="none" w:sz="0" w:space="0" w:color="auto"/>
                <w:right w:val="none" w:sz="0" w:space="0" w:color="auto"/>
              </w:divBdr>
              <w:divsChild>
                <w:div w:id="440074326">
                  <w:marLeft w:val="0"/>
                  <w:marRight w:val="0"/>
                  <w:marTop w:val="0"/>
                  <w:marBottom w:val="0"/>
                  <w:divBdr>
                    <w:top w:val="none" w:sz="0" w:space="0" w:color="auto"/>
                    <w:left w:val="none" w:sz="0" w:space="0" w:color="auto"/>
                    <w:bottom w:val="none" w:sz="0" w:space="0" w:color="auto"/>
                    <w:right w:val="none" w:sz="0" w:space="0" w:color="auto"/>
                  </w:divBdr>
                </w:div>
                <w:div w:id="16608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6112">
          <w:marLeft w:val="0"/>
          <w:marRight w:val="0"/>
          <w:marTop w:val="200"/>
          <w:marBottom w:val="200"/>
          <w:divBdr>
            <w:top w:val="none" w:sz="0" w:space="0" w:color="auto"/>
            <w:left w:val="none" w:sz="0" w:space="0" w:color="auto"/>
            <w:bottom w:val="none" w:sz="0" w:space="0" w:color="auto"/>
            <w:right w:val="none" w:sz="0" w:space="0" w:color="auto"/>
          </w:divBdr>
          <w:divsChild>
            <w:div w:id="1423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1411">
      <w:bodyDiv w:val="1"/>
      <w:marLeft w:val="0"/>
      <w:marRight w:val="0"/>
      <w:marTop w:val="0"/>
      <w:marBottom w:val="0"/>
      <w:divBdr>
        <w:top w:val="none" w:sz="0" w:space="0" w:color="auto"/>
        <w:left w:val="none" w:sz="0" w:space="0" w:color="auto"/>
        <w:bottom w:val="none" w:sz="0" w:space="0" w:color="auto"/>
        <w:right w:val="none" w:sz="0" w:space="0" w:color="auto"/>
      </w:divBdr>
      <w:divsChild>
        <w:div w:id="111100461">
          <w:marLeft w:val="274"/>
          <w:marRight w:val="0"/>
          <w:marTop w:val="86"/>
          <w:marBottom w:val="0"/>
          <w:divBdr>
            <w:top w:val="none" w:sz="0" w:space="0" w:color="auto"/>
            <w:left w:val="none" w:sz="0" w:space="0" w:color="auto"/>
            <w:bottom w:val="none" w:sz="0" w:space="0" w:color="auto"/>
            <w:right w:val="none" w:sz="0" w:space="0" w:color="auto"/>
          </w:divBdr>
        </w:div>
        <w:div w:id="268859903">
          <w:marLeft w:val="274"/>
          <w:marRight w:val="0"/>
          <w:marTop w:val="86"/>
          <w:marBottom w:val="0"/>
          <w:divBdr>
            <w:top w:val="none" w:sz="0" w:space="0" w:color="auto"/>
            <w:left w:val="none" w:sz="0" w:space="0" w:color="auto"/>
            <w:bottom w:val="none" w:sz="0" w:space="0" w:color="auto"/>
            <w:right w:val="none" w:sz="0" w:space="0" w:color="auto"/>
          </w:divBdr>
        </w:div>
        <w:div w:id="310138012">
          <w:marLeft w:val="274"/>
          <w:marRight w:val="0"/>
          <w:marTop w:val="86"/>
          <w:marBottom w:val="0"/>
          <w:divBdr>
            <w:top w:val="none" w:sz="0" w:space="0" w:color="auto"/>
            <w:left w:val="none" w:sz="0" w:space="0" w:color="auto"/>
            <w:bottom w:val="none" w:sz="0" w:space="0" w:color="auto"/>
            <w:right w:val="none" w:sz="0" w:space="0" w:color="auto"/>
          </w:divBdr>
        </w:div>
        <w:div w:id="980696188">
          <w:marLeft w:val="274"/>
          <w:marRight w:val="0"/>
          <w:marTop w:val="86"/>
          <w:marBottom w:val="0"/>
          <w:divBdr>
            <w:top w:val="none" w:sz="0" w:space="0" w:color="auto"/>
            <w:left w:val="none" w:sz="0" w:space="0" w:color="auto"/>
            <w:bottom w:val="none" w:sz="0" w:space="0" w:color="auto"/>
            <w:right w:val="none" w:sz="0" w:space="0" w:color="auto"/>
          </w:divBdr>
        </w:div>
        <w:div w:id="1670013383">
          <w:marLeft w:val="274"/>
          <w:marRight w:val="0"/>
          <w:marTop w:val="86"/>
          <w:marBottom w:val="0"/>
          <w:divBdr>
            <w:top w:val="none" w:sz="0" w:space="0" w:color="auto"/>
            <w:left w:val="none" w:sz="0" w:space="0" w:color="auto"/>
            <w:bottom w:val="none" w:sz="0" w:space="0" w:color="auto"/>
            <w:right w:val="none" w:sz="0" w:space="0" w:color="auto"/>
          </w:divBdr>
        </w:div>
      </w:divsChild>
    </w:div>
    <w:div w:id="1002969147">
      <w:bodyDiv w:val="1"/>
      <w:marLeft w:val="0"/>
      <w:marRight w:val="0"/>
      <w:marTop w:val="0"/>
      <w:marBottom w:val="0"/>
      <w:divBdr>
        <w:top w:val="none" w:sz="0" w:space="0" w:color="auto"/>
        <w:left w:val="none" w:sz="0" w:space="0" w:color="auto"/>
        <w:bottom w:val="none" w:sz="0" w:space="0" w:color="auto"/>
        <w:right w:val="none" w:sz="0" w:space="0" w:color="auto"/>
      </w:divBdr>
    </w:div>
    <w:div w:id="1050962188">
      <w:bodyDiv w:val="1"/>
      <w:marLeft w:val="0"/>
      <w:marRight w:val="0"/>
      <w:marTop w:val="0"/>
      <w:marBottom w:val="0"/>
      <w:divBdr>
        <w:top w:val="none" w:sz="0" w:space="0" w:color="auto"/>
        <w:left w:val="none" w:sz="0" w:space="0" w:color="auto"/>
        <w:bottom w:val="none" w:sz="0" w:space="0" w:color="auto"/>
        <w:right w:val="none" w:sz="0" w:space="0" w:color="auto"/>
      </w:divBdr>
    </w:div>
    <w:div w:id="1093013341">
      <w:bodyDiv w:val="1"/>
      <w:marLeft w:val="0"/>
      <w:marRight w:val="0"/>
      <w:marTop w:val="0"/>
      <w:marBottom w:val="0"/>
      <w:divBdr>
        <w:top w:val="none" w:sz="0" w:space="0" w:color="auto"/>
        <w:left w:val="none" w:sz="0" w:space="0" w:color="auto"/>
        <w:bottom w:val="none" w:sz="0" w:space="0" w:color="auto"/>
        <w:right w:val="none" w:sz="0" w:space="0" w:color="auto"/>
      </w:divBdr>
    </w:div>
    <w:div w:id="1195731639">
      <w:bodyDiv w:val="1"/>
      <w:marLeft w:val="0"/>
      <w:marRight w:val="0"/>
      <w:marTop w:val="0"/>
      <w:marBottom w:val="0"/>
      <w:divBdr>
        <w:top w:val="none" w:sz="0" w:space="0" w:color="auto"/>
        <w:left w:val="none" w:sz="0" w:space="0" w:color="auto"/>
        <w:bottom w:val="none" w:sz="0" w:space="0" w:color="auto"/>
        <w:right w:val="none" w:sz="0" w:space="0" w:color="auto"/>
      </w:divBdr>
    </w:div>
    <w:div w:id="1210994130">
      <w:bodyDiv w:val="1"/>
      <w:marLeft w:val="0"/>
      <w:marRight w:val="0"/>
      <w:marTop w:val="0"/>
      <w:marBottom w:val="0"/>
      <w:divBdr>
        <w:top w:val="none" w:sz="0" w:space="0" w:color="auto"/>
        <w:left w:val="none" w:sz="0" w:space="0" w:color="auto"/>
        <w:bottom w:val="none" w:sz="0" w:space="0" w:color="auto"/>
        <w:right w:val="none" w:sz="0" w:space="0" w:color="auto"/>
      </w:divBdr>
    </w:div>
    <w:div w:id="1260722083">
      <w:bodyDiv w:val="1"/>
      <w:marLeft w:val="0"/>
      <w:marRight w:val="0"/>
      <w:marTop w:val="0"/>
      <w:marBottom w:val="0"/>
      <w:divBdr>
        <w:top w:val="none" w:sz="0" w:space="0" w:color="auto"/>
        <w:left w:val="none" w:sz="0" w:space="0" w:color="auto"/>
        <w:bottom w:val="none" w:sz="0" w:space="0" w:color="auto"/>
        <w:right w:val="none" w:sz="0" w:space="0" w:color="auto"/>
      </w:divBdr>
    </w:div>
    <w:div w:id="1306357086">
      <w:bodyDiv w:val="1"/>
      <w:marLeft w:val="0"/>
      <w:marRight w:val="0"/>
      <w:marTop w:val="0"/>
      <w:marBottom w:val="0"/>
      <w:divBdr>
        <w:top w:val="none" w:sz="0" w:space="0" w:color="auto"/>
        <w:left w:val="none" w:sz="0" w:space="0" w:color="auto"/>
        <w:bottom w:val="none" w:sz="0" w:space="0" w:color="auto"/>
        <w:right w:val="none" w:sz="0" w:space="0" w:color="auto"/>
      </w:divBdr>
    </w:div>
    <w:div w:id="1356032501">
      <w:bodyDiv w:val="1"/>
      <w:marLeft w:val="0"/>
      <w:marRight w:val="0"/>
      <w:marTop w:val="0"/>
      <w:marBottom w:val="0"/>
      <w:divBdr>
        <w:top w:val="none" w:sz="0" w:space="0" w:color="auto"/>
        <w:left w:val="none" w:sz="0" w:space="0" w:color="auto"/>
        <w:bottom w:val="none" w:sz="0" w:space="0" w:color="auto"/>
        <w:right w:val="none" w:sz="0" w:space="0" w:color="auto"/>
      </w:divBdr>
    </w:div>
    <w:div w:id="1505976260">
      <w:bodyDiv w:val="1"/>
      <w:marLeft w:val="0"/>
      <w:marRight w:val="0"/>
      <w:marTop w:val="0"/>
      <w:marBottom w:val="0"/>
      <w:divBdr>
        <w:top w:val="none" w:sz="0" w:space="0" w:color="auto"/>
        <w:left w:val="none" w:sz="0" w:space="0" w:color="auto"/>
        <w:bottom w:val="none" w:sz="0" w:space="0" w:color="auto"/>
        <w:right w:val="none" w:sz="0" w:space="0" w:color="auto"/>
      </w:divBdr>
      <w:divsChild>
        <w:div w:id="1655914833">
          <w:marLeft w:val="0"/>
          <w:marRight w:val="0"/>
          <w:marTop w:val="0"/>
          <w:marBottom w:val="0"/>
          <w:divBdr>
            <w:top w:val="none" w:sz="0" w:space="0" w:color="auto"/>
            <w:left w:val="none" w:sz="0" w:space="0" w:color="auto"/>
            <w:bottom w:val="none" w:sz="0" w:space="0" w:color="auto"/>
            <w:right w:val="none" w:sz="0" w:space="0" w:color="auto"/>
          </w:divBdr>
          <w:divsChild>
            <w:div w:id="1474591925">
              <w:marLeft w:val="0"/>
              <w:marRight w:val="0"/>
              <w:marTop w:val="0"/>
              <w:marBottom w:val="0"/>
              <w:divBdr>
                <w:top w:val="none" w:sz="0" w:space="0" w:color="auto"/>
                <w:left w:val="none" w:sz="0" w:space="0" w:color="auto"/>
                <w:bottom w:val="none" w:sz="0" w:space="0" w:color="auto"/>
                <w:right w:val="none" w:sz="0" w:space="0" w:color="auto"/>
              </w:divBdr>
            </w:div>
            <w:div w:id="21144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8375">
      <w:bodyDiv w:val="1"/>
      <w:marLeft w:val="0"/>
      <w:marRight w:val="0"/>
      <w:marTop w:val="0"/>
      <w:marBottom w:val="0"/>
      <w:divBdr>
        <w:top w:val="none" w:sz="0" w:space="0" w:color="auto"/>
        <w:left w:val="none" w:sz="0" w:space="0" w:color="auto"/>
        <w:bottom w:val="none" w:sz="0" w:space="0" w:color="auto"/>
        <w:right w:val="none" w:sz="0" w:space="0" w:color="auto"/>
      </w:divBdr>
    </w:div>
    <w:div w:id="1532644046">
      <w:bodyDiv w:val="1"/>
      <w:marLeft w:val="0"/>
      <w:marRight w:val="0"/>
      <w:marTop w:val="0"/>
      <w:marBottom w:val="0"/>
      <w:divBdr>
        <w:top w:val="none" w:sz="0" w:space="0" w:color="auto"/>
        <w:left w:val="none" w:sz="0" w:space="0" w:color="auto"/>
        <w:bottom w:val="none" w:sz="0" w:space="0" w:color="auto"/>
        <w:right w:val="none" w:sz="0" w:space="0" w:color="auto"/>
      </w:divBdr>
    </w:div>
    <w:div w:id="1549951715">
      <w:bodyDiv w:val="1"/>
      <w:marLeft w:val="0"/>
      <w:marRight w:val="0"/>
      <w:marTop w:val="0"/>
      <w:marBottom w:val="0"/>
      <w:divBdr>
        <w:top w:val="none" w:sz="0" w:space="0" w:color="auto"/>
        <w:left w:val="none" w:sz="0" w:space="0" w:color="auto"/>
        <w:bottom w:val="none" w:sz="0" w:space="0" w:color="auto"/>
        <w:right w:val="none" w:sz="0" w:space="0" w:color="auto"/>
      </w:divBdr>
    </w:div>
    <w:div w:id="1567451975">
      <w:bodyDiv w:val="1"/>
      <w:marLeft w:val="0"/>
      <w:marRight w:val="0"/>
      <w:marTop w:val="0"/>
      <w:marBottom w:val="0"/>
      <w:divBdr>
        <w:top w:val="none" w:sz="0" w:space="0" w:color="auto"/>
        <w:left w:val="none" w:sz="0" w:space="0" w:color="auto"/>
        <w:bottom w:val="none" w:sz="0" w:space="0" w:color="auto"/>
        <w:right w:val="none" w:sz="0" w:space="0" w:color="auto"/>
      </w:divBdr>
    </w:div>
    <w:div w:id="1878279613">
      <w:bodyDiv w:val="1"/>
      <w:marLeft w:val="0"/>
      <w:marRight w:val="0"/>
      <w:marTop w:val="0"/>
      <w:marBottom w:val="0"/>
      <w:divBdr>
        <w:top w:val="none" w:sz="0" w:space="0" w:color="auto"/>
        <w:left w:val="none" w:sz="0" w:space="0" w:color="auto"/>
        <w:bottom w:val="none" w:sz="0" w:space="0" w:color="auto"/>
        <w:right w:val="none" w:sz="0" w:space="0" w:color="auto"/>
      </w:divBdr>
    </w:div>
    <w:div w:id="1884441602">
      <w:bodyDiv w:val="1"/>
      <w:marLeft w:val="0"/>
      <w:marRight w:val="0"/>
      <w:marTop w:val="0"/>
      <w:marBottom w:val="0"/>
      <w:divBdr>
        <w:top w:val="none" w:sz="0" w:space="0" w:color="auto"/>
        <w:left w:val="none" w:sz="0" w:space="0" w:color="auto"/>
        <w:bottom w:val="none" w:sz="0" w:space="0" w:color="auto"/>
        <w:right w:val="none" w:sz="0" w:space="0" w:color="auto"/>
      </w:divBdr>
      <w:divsChild>
        <w:div w:id="817117113">
          <w:marLeft w:val="0"/>
          <w:marRight w:val="0"/>
          <w:marTop w:val="0"/>
          <w:marBottom w:val="0"/>
          <w:divBdr>
            <w:top w:val="none" w:sz="0" w:space="0" w:color="auto"/>
            <w:left w:val="none" w:sz="0" w:space="0" w:color="auto"/>
            <w:bottom w:val="none" w:sz="0" w:space="0" w:color="auto"/>
            <w:right w:val="none" w:sz="0" w:space="0" w:color="auto"/>
          </w:divBdr>
        </w:div>
        <w:div w:id="832843314">
          <w:marLeft w:val="0"/>
          <w:marRight w:val="0"/>
          <w:marTop w:val="0"/>
          <w:marBottom w:val="0"/>
          <w:divBdr>
            <w:top w:val="none" w:sz="0" w:space="0" w:color="auto"/>
            <w:left w:val="none" w:sz="0" w:space="0" w:color="auto"/>
            <w:bottom w:val="none" w:sz="0" w:space="0" w:color="auto"/>
            <w:right w:val="none" w:sz="0" w:space="0" w:color="auto"/>
          </w:divBdr>
        </w:div>
        <w:div w:id="1048650002">
          <w:marLeft w:val="0"/>
          <w:marRight w:val="0"/>
          <w:marTop w:val="0"/>
          <w:marBottom w:val="0"/>
          <w:divBdr>
            <w:top w:val="none" w:sz="0" w:space="0" w:color="auto"/>
            <w:left w:val="none" w:sz="0" w:space="0" w:color="auto"/>
            <w:bottom w:val="none" w:sz="0" w:space="0" w:color="auto"/>
            <w:right w:val="none" w:sz="0" w:space="0" w:color="auto"/>
          </w:divBdr>
        </w:div>
        <w:div w:id="1283416018">
          <w:marLeft w:val="0"/>
          <w:marRight w:val="0"/>
          <w:marTop w:val="0"/>
          <w:marBottom w:val="0"/>
          <w:divBdr>
            <w:top w:val="none" w:sz="0" w:space="0" w:color="auto"/>
            <w:left w:val="none" w:sz="0" w:space="0" w:color="auto"/>
            <w:bottom w:val="none" w:sz="0" w:space="0" w:color="auto"/>
            <w:right w:val="none" w:sz="0" w:space="0" w:color="auto"/>
          </w:divBdr>
        </w:div>
        <w:div w:id="1389837472">
          <w:marLeft w:val="0"/>
          <w:marRight w:val="0"/>
          <w:marTop w:val="0"/>
          <w:marBottom w:val="0"/>
          <w:divBdr>
            <w:top w:val="none" w:sz="0" w:space="0" w:color="auto"/>
            <w:left w:val="none" w:sz="0" w:space="0" w:color="auto"/>
            <w:bottom w:val="none" w:sz="0" w:space="0" w:color="auto"/>
            <w:right w:val="none" w:sz="0" w:space="0" w:color="auto"/>
          </w:divBdr>
        </w:div>
      </w:divsChild>
    </w:div>
    <w:div w:id="1896117988">
      <w:bodyDiv w:val="1"/>
      <w:marLeft w:val="0"/>
      <w:marRight w:val="0"/>
      <w:marTop w:val="0"/>
      <w:marBottom w:val="0"/>
      <w:divBdr>
        <w:top w:val="none" w:sz="0" w:space="0" w:color="auto"/>
        <w:left w:val="none" w:sz="0" w:space="0" w:color="auto"/>
        <w:bottom w:val="none" w:sz="0" w:space="0" w:color="auto"/>
        <w:right w:val="none" w:sz="0" w:space="0" w:color="auto"/>
      </w:divBdr>
    </w:div>
    <w:div w:id="2041472285">
      <w:bodyDiv w:val="1"/>
      <w:marLeft w:val="0"/>
      <w:marRight w:val="0"/>
      <w:marTop w:val="0"/>
      <w:marBottom w:val="0"/>
      <w:divBdr>
        <w:top w:val="none" w:sz="0" w:space="0" w:color="auto"/>
        <w:left w:val="none" w:sz="0" w:space="0" w:color="auto"/>
        <w:bottom w:val="none" w:sz="0" w:space="0" w:color="auto"/>
        <w:right w:val="none" w:sz="0" w:space="0" w:color="auto"/>
      </w:divBdr>
    </w:div>
    <w:div w:id="2074233744">
      <w:bodyDiv w:val="1"/>
      <w:marLeft w:val="0"/>
      <w:marRight w:val="0"/>
      <w:marTop w:val="0"/>
      <w:marBottom w:val="0"/>
      <w:divBdr>
        <w:top w:val="none" w:sz="0" w:space="0" w:color="auto"/>
        <w:left w:val="none" w:sz="0" w:space="0" w:color="auto"/>
        <w:bottom w:val="none" w:sz="0" w:space="0" w:color="auto"/>
        <w:right w:val="none" w:sz="0" w:space="0" w:color="auto"/>
      </w:divBdr>
    </w:div>
    <w:div w:id="2093508860">
      <w:bodyDiv w:val="1"/>
      <w:marLeft w:val="0"/>
      <w:marRight w:val="0"/>
      <w:marTop w:val="0"/>
      <w:marBottom w:val="0"/>
      <w:divBdr>
        <w:top w:val="none" w:sz="0" w:space="0" w:color="auto"/>
        <w:left w:val="none" w:sz="0" w:space="0" w:color="auto"/>
        <w:bottom w:val="none" w:sz="0" w:space="0" w:color="auto"/>
        <w:right w:val="none" w:sz="0" w:space="0" w:color="auto"/>
      </w:divBdr>
    </w:div>
    <w:div w:id="2128038173">
      <w:bodyDiv w:val="1"/>
      <w:marLeft w:val="0"/>
      <w:marRight w:val="0"/>
      <w:marTop w:val="0"/>
      <w:marBottom w:val="0"/>
      <w:divBdr>
        <w:top w:val="none" w:sz="0" w:space="0" w:color="auto"/>
        <w:left w:val="none" w:sz="0" w:space="0" w:color="auto"/>
        <w:bottom w:val="none" w:sz="0" w:space="0" w:color="auto"/>
        <w:right w:val="none" w:sz="0" w:space="0" w:color="auto"/>
      </w:divBdr>
    </w:div>
    <w:div w:id="21458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hedi.org" TargetMode="External"/><Relationship Id="rId13" Type="http://schemas.openxmlformats.org/officeDocument/2006/relationships/hyperlink" Target="https://www.who.int/publications/i/item/9789240039483" TargetMode="External"/><Relationship Id="rId18" Type="http://schemas.openxmlformats.org/officeDocument/2006/relationships/hyperlink" Target="https://pubmed.ncbi.nlm.nih.gov/35772525/" TargetMode="External"/><Relationship Id="rId26" Type="http://schemas.openxmlformats.org/officeDocument/2006/relationships/hyperlink" Target="https://www.kff.org/womens-health-policy/state-indicator/ultrasound-requirements/" TargetMode="External"/><Relationship Id="rId3" Type="http://schemas.openxmlformats.org/officeDocument/2006/relationships/styles" Target="styles.xml"/><Relationship Id="rId21" Type="http://schemas.openxmlformats.org/officeDocument/2006/relationships/hyperlink" Target="https://pubmed.ncbi.nlm.nih.gov/288305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awatlas.org/datasets/medication-abortion-requirements" TargetMode="External"/><Relationship Id="rId17" Type="http://schemas.openxmlformats.org/officeDocument/2006/relationships/hyperlink" Target="https://pubmed.ncbi.nlm.nih.gov/26241251/" TargetMode="External"/><Relationship Id="rId25" Type="http://schemas.openxmlformats.org/officeDocument/2006/relationships/hyperlink" Target="https://pubmed.ncbi.nlm.nih.gov/2131027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15229016/" TargetMode="External"/><Relationship Id="rId20" Type="http://schemas.openxmlformats.org/officeDocument/2006/relationships/hyperlink" Target="https://prochoice.org/providers/quality-standards/" TargetMode="External"/><Relationship Id="rId29" Type="http://schemas.openxmlformats.org/officeDocument/2006/relationships/hyperlink" Target="https://doi.org/10.1016/j.contraception.2012.09.011"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hedi.org/wp-content/uploads/2019/03/RHEDI-Information-for-Patients-after-Med-AB.pdf" TargetMode="External"/><Relationship Id="rId24" Type="http://schemas.openxmlformats.org/officeDocument/2006/relationships/hyperlink" Target="https://pubmed.ncbi.nlm.nih.gov/25916975/" TargetMode="External"/><Relationship Id="rId32" Type="http://schemas.openxmlformats.org/officeDocument/2006/relationships/footer" Target="footer1.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ncbi.nlm.nih.gov/pmc/articles/PMC6367561/" TargetMode="External"/><Relationship Id="rId23" Type="http://schemas.openxmlformats.org/officeDocument/2006/relationships/hyperlink" Target="https://pubmed.ncbi.nlm.nih.gov/29170088/" TargetMode="External"/><Relationship Id="rId28" Type="http://schemas.openxmlformats.org/officeDocument/2006/relationships/hyperlink" Target="https://pubmed.ncbi.nlm.nih.gov/20103453/" TargetMode="External"/><Relationship Id="rId10" Type="http://schemas.openxmlformats.org/officeDocument/2006/relationships/hyperlink" Target="https://www.accessdata.fda.gov/drugsatfda_docs/rems/Mifepristone_2023_01_03_Patient_Agreement_Form.pdf" TargetMode="External"/><Relationship Id="rId19" Type="http://schemas.openxmlformats.org/officeDocument/2006/relationships/hyperlink" Target="https://pubmed.ncbi.nlm.nih.gov/32474060/" TargetMode="External"/><Relationship Id="rId31" Type="http://schemas.openxmlformats.org/officeDocument/2006/relationships/hyperlink" Target="https://pubmed.ncbi.nlm.nih.gov/27664217/" TargetMode="External"/><Relationship Id="rId4" Type="http://schemas.openxmlformats.org/officeDocument/2006/relationships/settings" Target="settings.xml"/><Relationship Id="rId9" Type="http://schemas.openxmlformats.org/officeDocument/2006/relationships/hyperlink" Target="https://dev2.rhedi.org/limited-ultrasound-protocol-for-medication-abortion/" TargetMode="External"/><Relationship Id="rId14" Type="http://schemas.openxmlformats.org/officeDocument/2006/relationships/hyperlink" Target="https://pubmed.ncbi.nlm.nih.gov/32014520/" TargetMode="External"/><Relationship Id="rId22" Type="http://schemas.openxmlformats.org/officeDocument/2006/relationships/hyperlink" Target="https://pubmed.ncbi.nlm.nih.gov/25152258/" TargetMode="External"/><Relationship Id="rId27" Type="http://schemas.openxmlformats.org/officeDocument/2006/relationships/hyperlink" Target="https://prochoice.org/providers/quality-standards/" TargetMode="External"/><Relationship Id="rId30" Type="http://schemas.openxmlformats.org/officeDocument/2006/relationships/hyperlink" Target="https://pubmed.ncbi.nlm.nih.gov/17443596/"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rhed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D0C25-43A4-4E5F-9ACA-6FC7FDB2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Stein</dc:creator>
  <cp:keywords/>
  <dc:description/>
  <cp:lastModifiedBy>Ian Lague</cp:lastModifiedBy>
  <cp:revision>8</cp:revision>
  <cp:lastPrinted>2023-05-10T13:36:00Z</cp:lastPrinted>
  <dcterms:created xsi:type="dcterms:W3CDTF">2023-05-10T12:51:00Z</dcterms:created>
  <dcterms:modified xsi:type="dcterms:W3CDTF">2023-05-10T13:52:00Z</dcterms:modified>
</cp:coreProperties>
</file>